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  <w:r>
        <w:rPr>
          <w:rFonts w:ascii="Times New Roman" w:hAnsi="Times New Roman" w:eastAsia="宋体" w:cs="Times New Roman"/>
          <w:b/>
          <w:sz w:val="52"/>
          <w:szCs w:val="52"/>
        </w:rPr>
        <w:t>DDM-206在线电导率传感器</w:t>
      </w:r>
    </w:p>
    <w:p>
      <w:pPr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ascii="Times New Roman" w:hAnsi="Times New Roman" w:eastAsia="宋体" w:cs="Times New Roman"/>
          <w:b/>
          <w:sz w:val="52"/>
          <w:szCs w:val="52"/>
        </w:rPr>
        <w:t>用户手册</w:t>
      </w:r>
    </w:p>
    <w:p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  <w:r>
        <w:rPr>
          <w:rFonts w:ascii="Times New Roman" w:hAnsi="Times New Roman" w:eastAsia="宋体" w:cs="Times New Roman"/>
          <w:b/>
          <w:sz w:val="52"/>
          <w:szCs w:val="52"/>
        </w:rPr>
        <w:drawing>
          <wp:inline distT="0" distB="0" distL="114300" distR="114300">
            <wp:extent cx="3475990" cy="4634230"/>
            <wp:effectExtent l="0" t="0" r="0" b="0"/>
            <wp:docPr id="5" name="图片 5" descr="/tmp/webword_657007001/upload_post_object_v2_95142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tmp/webword_657007001/upload_post_object_v2_95142362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spacing w:line="20" w:lineRule="atLeast"/>
        <w:ind w:left="73" w:leftChars="35" w:right="278" w:firstLine="198" w:firstLineChars="71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杭州凯米斯物联传感科技有限公司</w:t>
      </w:r>
    </w:p>
    <w:p>
      <w:pPr>
        <w:pStyle w:val="26"/>
        <w:spacing w:line="20" w:lineRule="atLeast"/>
        <w:ind w:left="73" w:leftChars="35" w:right="278" w:firstLine="198" w:firstLineChars="7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电话：400-666-0325 </w:t>
      </w:r>
    </w:p>
    <w:p>
      <w:pPr>
        <w:pStyle w:val="26"/>
        <w:spacing w:line="20" w:lineRule="atLeast"/>
        <w:ind w:left="280" w:right="278" w:firstLine="560"/>
        <w:jc w:val="center"/>
        <w:rPr>
          <w:sz w:val="28"/>
          <w:szCs w:val="28"/>
        </w:rPr>
      </w:pPr>
      <w:r>
        <w:rPr>
          <w:sz w:val="28"/>
          <w:szCs w:val="28"/>
        </w:rPr>
        <w:t>邮箱：</w:t>
      </w:r>
      <w:r>
        <w:fldChar w:fldCharType="begin"/>
      </w:r>
      <w:r>
        <w:instrText xml:space="preserve"> HYPERLINK "mailto:service@chemins-tech.com" </w:instrText>
      </w:r>
      <w:r>
        <w:fldChar w:fldCharType="separate"/>
      </w:r>
      <w:r>
        <w:rPr>
          <w:sz w:val="28"/>
          <w:szCs w:val="28"/>
        </w:rPr>
        <w:t>service@chemins-tech.com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网址：</w:t>
      </w:r>
      <w:r>
        <w:fldChar w:fldCharType="begin"/>
      </w:r>
      <w:r>
        <w:instrText xml:space="preserve"> HYPERLINK "http://www.chemins-tech.com" </w:instrText>
      </w:r>
      <w:r>
        <w:fldChar w:fldCharType="separate"/>
      </w:r>
      <w:r>
        <w:rPr>
          <w:sz w:val="28"/>
          <w:szCs w:val="28"/>
        </w:rPr>
        <w:t>www.chemins-tech.com</w:t>
      </w:r>
      <w:r>
        <w:rPr>
          <w:sz w:val="28"/>
          <w:szCs w:val="28"/>
        </w:rPr>
        <w:fldChar w:fldCharType="end"/>
      </w:r>
    </w:p>
    <w:p>
      <w:pPr>
        <w:pStyle w:val="10"/>
        <w:tabs>
          <w:tab w:val="right" w:leader="dot" w:pos="6719"/>
        </w:tabs>
        <w:spacing w:beforeLines="100" w:line="360" w:lineRule="auto"/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drawing>
          <wp:inline distT="0" distB="0" distL="114300" distR="114300">
            <wp:extent cx="1273175" cy="1273175"/>
            <wp:effectExtent l="0" t="0" r="6985" b="6985"/>
            <wp:docPr id="2" name="图片 1" descr="lQDPJxmqCcZwVYrNBQDNBQCwVL_oM7oiJ2MEMPp1VYBk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QDPJxmqCcZwVYrNBQDNBQCwVL_oM7oiJ2MEMPp1VYBkAA_1280_1280.jpg_720x720q90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drawing>
          <wp:inline distT="0" distB="0" distL="114300" distR="114300">
            <wp:extent cx="1259205" cy="1259205"/>
            <wp:effectExtent l="0" t="0" r="5715" b="5715"/>
            <wp:docPr id="6" name="图片 2" descr="lQDPJxHiPqphdYrNBQDNBQCwccazwI86gREEMPp1aECm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lQDPJxHiPqphdYrNBQDNBQCwccazwI86gREEMPp1aECmAA_1280_1280.jpg_720x720q90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tabs>
          <w:tab w:val="right" w:leader="dot" w:pos="6719"/>
        </w:tabs>
        <w:spacing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用户须知</w:t>
      </w:r>
    </w:p>
    <w:p>
      <w:pPr>
        <w:rPr>
          <w:rFonts w:ascii="Times New Roman" w:hAnsi="Times New Roman" w:eastAsia="宋体" w:cs="Times New Roman"/>
        </w:rPr>
      </w:pP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使用前请详细阅读本说明书，并保存以供参考。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请遵守本说明书操作规程及注意事项。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在收到仪器时，请小心打开包装，检视仪器及配件是否因运送而损坏，如有发现损坏，请立即通知生产厂家及经销商，并保留包装物，以便寄回处理。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  <w:color w:val="000000"/>
          <w:kern w:val="0"/>
          <w:szCs w:val="28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  <w:t>当仪器发生故障，请勿自行修理，请直接联系生产厂家的售后部门。</w:t>
      </w:r>
    </w:p>
    <w:p>
      <w:pPr>
        <w:rPr>
          <w:rFonts w:ascii="Times New Roman" w:hAnsi="Times New Roman" w:eastAsia="宋体" w:cs="Times New Roman"/>
          <w:color w:val="000000"/>
          <w:kern w:val="0"/>
          <w:szCs w:val="28"/>
        </w:rPr>
      </w:pP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color w:val="000000"/>
        </w:rPr>
        <w:br w:type="page"/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44"/>
          <w:szCs w:val="44"/>
          <w:lang w:val="zh-CN" w:eastAsia="en-US"/>
        </w:rPr>
        <w:id w:val="21559339"/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2"/>
          <w:szCs w:val="22"/>
          <w:lang w:val="en-US" w:eastAsia="en-US"/>
        </w:rPr>
      </w:sdtEndPr>
      <w:sdtContent>
        <w:p>
          <w:pPr>
            <w:pStyle w:val="25"/>
            <w:jc w:val="center"/>
            <w:rPr>
              <w:rFonts w:ascii="Times New Roman" w:hAnsi="Times New Roman" w:eastAsia="宋体" w:cs="Times New Roman"/>
              <w:sz w:val="44"/>
              <w:szCs w:val="44"/>
            </w:rPr>
          </w:pPr>
          <w:r>
            <w:rPr>
              <w:rFonts w:ascii="Times New Roman" w:hAnsi="Times New Roman" w:eastAsia="宋体" w:cs="Times New Roman"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1"/>
            <w:tabs>
              <w:tab w:val="left" w:pos="126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rPr>
              <w:rFonts w:ascii="Times New Roman" w:hAnsi="Times New Roman" w:eastAsia="宋体" w:cs="Times New Roman"/>
            </w:rPr>
            <w:fldChar w:fldCharType="begin"/>
          </w:r>
          <w:r>
            <w:rPr>
              <w:rFonts w:ascii="Times New Roman" w:hAnsi="Times New Roman" w:eastAsia="宋体" w:cs="Times New Roman"/>
            </w:rPr>
            <w:instrText xml:space="preserve"> TOC \o "1-3" \h \z \u </w:instrText>
          </w:r>
          <w:r>
            <w:rPr>
              <w:rFonts w:ascii="Times New Roman" w:hAnsi="Times New Roman" w:eastAsia="宋体" w:cs="Times New Roman"/>
            </w:rPr>
            <w:fldChar w:fldCharType="separate"/>
          </w:r>
          <w:r>
            <w:fldChar w:fldCharType="begin"/>
          </w:r>
          <w:r>
            <w:instrText xml:space="preserve"> HYPERLINK \l "_Toc525723968"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一、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应用环境说明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_Toc525723968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4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left" w:pos="126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"_Toc525723969"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二、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技术性能和规格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_Toc525723969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4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1.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技术参数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_Toc525723970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4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"_Toc525723971"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2.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尺寸图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_Toc525723971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5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left" w:pos="126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三、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安装和电气连接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_Toc525723972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6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"_Toc525723973"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1.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安装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_Toc525723973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6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"_Toc525723974"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2.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电气连接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_Toc525723974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6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left" w:pos="126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四、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维护和保养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_Toc525723975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1.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使用和保养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_Toc525723976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2.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校准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_Toc525723977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left" w:pos="126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五、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质量和服务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_Toc525723978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"_Toc525723979"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1.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质量保证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_Toc525723979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"_Toc525723980"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2.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配件和备件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_Toc525723980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7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left" w:pos="1470"/>
              <w:tab w:val="right" w:leader="dot" w:pos="9736"/>
            </w:tabs>
            <w:rPr>
              <w:rFonts w:ascii="Times New Roman" w:hAnsi="Times New Roman" w:eastAsia="宋体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"_Toc525723981"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3.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售后服务承诺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_Toc525723981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8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9736"/>
            </w:tabs>
            <w:rPr>
              <w:rFonts w:ascii="Times New Roman" w:hAnsi="Times New Roman" w:eastAsia="宋体" w:cs="Times New Roman"/>
            </w:rPr>
          </w:pPr>
          <w:r>
            <w:fldChar w:fldCharType="begin"/>
          </w:r>
          <w:r>
            <w:instrText xml:space="preserve"> HYPERLINK \l "_Toc525723982"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 w:cs="Times New Roman"/>
              <w:sz w:val="28"/>
              <w:szCs w:val="28"/>
            </w:rPr>
            <w:t>附录  数据通讯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ab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instrText xml:space="preserve"> PAGEREF _Toc525723982 \h </w:instrTex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t>9</w:t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eastAsia="宋体" w:cs="Times New Roman"/>
              <w:sz w:val="28"/>
              <w:szCs w:val="28"/>
            </w:rPr>
            <w:fldChar w:fldCharType="end"/>
          </w:r>
        </w:p>
        <w:p>
          <w:pPr>
            <w:rPr>
              <w:rFonts w:ascii="Times New Roman" w:hAnsi="Times New Roman" w:eastAsia="宋体" w:cs="Times New Roman"/>
            </w:rPr>
          </w:pPr>
          <w:r>
            <w:rPr>
              <w:rFonts w:ascii="Times New Roman" w:hAnsi="Times New Roman" w:eastAsia="宋体" w:cs="Times New Roman"/>
            </w:rPr>
            <w:fldChar w:fldCharType="end"/>
          </w:r>
        </w:p>
      </w:sdtContent>
    </w:sdt>
    <w:p>
      <w:pPr>
        <w:jc w:val="center"/>
        <w:rPr>
          <w:rFonts w:ascii="Times New Roman" w:hAnsi="Times New Roman" w:eastAsia="宋体" w:cs="Times New Roman"/>
          <w:b/>
          <w:sz w:val="52"/>
          <w:szCs w:val="52"/>
        </w:rPr>
      </w:pPr>
      <w:r>
        <w:rPr>
          <w:rFonts w:ascii="Times New Roman" w:hAnsi="Times New Roman" w:eastAsia="宋体" w:cs="Times New Roman"/>
          <w:b/>
          <w:sz w:val="52"/>
          <w:szCs w:val="52"/>
        </w:rPr>
        <w:br w:type="page"/>
      </w:r>
    </w:p>
    <w:p>
      <w:pPr>
        <w:pStyle w:val="3"/>
        <w:numPr>
          <w:ilvl w:val="0"/>
          <w:numId w:val="2"/>
        </w:numPr>
        <w:spacing w:beforeLines="100" w:afterLines="100" w:line="240" w:lineRule="auto"/>
        <w:ind w:left="0" w:firstLine="321"/>
        <w:rPr>
          <w:rFonts w:ascii="Times New Roman" w:hAnsi="Times New Roman" w:eastAsia="宋体" w:cs="Times New Roman"/>
        </w:rPr>
      </w:pPr>
      <w:bookmarkStart w:id="0" w:name="_Toc525723968"/>
      <w:r>
        <w:rPr>
          <w:rFonts w:ascii="Times New Roman" w:hAnsi="Times New Roman" w:eastAsia="宋体" w:cs="Times New Roman"/>
        </w:rPr>
        <w:t>应用环境说明</w:t>
      </w:r>
      <w:bookmarkEnd w:id="0"/>
    </w:p>
    <w:p>
      <w:pPr>
        <w:numPr>
          <w:ilvl w:val="0"/>
          <w:numId w:val="3"/>
        </w:numPr>
        <w:ind w:left="84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饮用水/地表水/各种供水/工业水处理</w:t>
      </w:r>
    </w:p>
    <w:p>
      <w:pPr>
        <w:numPr>
          <w:ilvl w:val="0"/>
          <w:numId w:val="4"/>
        </w:numPr>
        <w:ind w:left="840"/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sz w:val="24"/>
          <w:szCs w:val="24"/>
        </w:rPr>
        <w:t>信号输出：</w:t>
      </w:r>
    </w:p>
    <w:p>
      <w:pPr>
        <w:ind w:left="840"/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sz w:val="24"/>
          <w:szCs w:val="24"/>
        </w:rPr>
        <w:t>RS-485（Modbus RTU协议）</w:t>
      </w:r>
    </w:p>
    <w:p>
      <w:pPr>
        <w:numPr>
          <w:ilvl w:val="0"/>
          <w:numId w:val="4"/>
        </w:numPr>
        <w:ind w:left="840"/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sz w:val="24"/>
          <w:szCs w:val="24"/>
        </w:rPr>
        <w:t>方便连接到PLC、DCS、工业控制计算机、通用控制器、无纸记录仪器或触摸屏等第三方设备。</w:t>
      </w:r>
    </w:p>
    <w:p>
      <w:pPr>
        <w:numPr>
          <w:ilvl w:val="0"/>
          <w:numId w:val="4"/>
        </w:numPr>
        <w:ind w:left="840"/>
        <w:rPr>
          <w:rFonts w:ascii="Times New Roman" w:hAnsi="Times New Roman" w:eastAsia="宋体" w:cs="Times New Roman"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sz w:val="24"/>
          <w:szCs w:val="24"/>
        </w:rPr>
        <w:t>浸入式安装，带3/4NPT管螺纹，便于沉入式安装或安装在管道和罐体。</w:t>
      </w:r>
    </w:p>
    <w:p>
      <w:pPr>
        <w:numPr>
          <w:ilvl w:val="0"/>
          <w:numId w:val="4"/>
        </w:numPr>
        <w:ind w:left="84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IP68防护等级。</w:t>
      </w:r>
    </w:p>
    <w:p>
      <w:pPr>
        <w:numPr>
          <w:ilvl w:val="0"/>
          <w:numId w:val="4"/>
        </w:numPr>
        <w:ind w:left="84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0～20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μS/cm</w:t>
      </w:r>
      <w:r>
        <w:rPr>
          <w:rFonts w:hint="eastAsia" w:ascii="Times New Roman" w:hAnsi="Times New Roman" w:eastAsia="宋体" w:cs="Times New Roman"/>
          <w:sz w:val="24"/>
          <w:szCs w:val="24"/>
        </w:rPr>
        <w:t>、0～200μS/cm、0～5000μS/cm可同时输出电导率和TDS。</w:t>
      </w:r>
    </w:p>
    <w:p>
      <w:pPr>
        <w:pStyle w:val="3"/>
        <w:numPr>
          <w:ilvl w:val="0"/>
          <w:numId w:val="2"/>
        </w:numPr>
        <w:spacing w:beforeLines="100" w:afterLines="100" w:line="240" w:lineRule="auto"/>
        <w:ind w:left="0" w:firstLine="321"/>
        <w:rPr>
          <w:rFonts w:ascii="Times New Roman" w:hAnsi="Times New Roman" w:eastAsia="宋体" w:cs="Times New Roman"/>
        </w:rPr>
      </w:pPr>
      <w:bookmarkStart w:id="1" w:name="_Toc525723969"/>
      <w:r>
        <w:rPr>
          <w:rFonts w:ascii="Times New Roman" w:hAnsi="Times New Roman" w:eastAsia="宋体" w:cs="Times New Roman"/>
        </w:rPr>
        <w:t>技术性能和规格</w:t>
      </w:r>
      <w:bookmarkEnd w:id="1"/>
    </w:p>
    <w:p>
      <w:pPr>
        <w:pStyle w:val="4"/>
        <w:numPr>
          <w:ilvl w:val="0"/>
          <w:numId w:val="5"/>
        </w:numPr>
        <w:ind w:left="840"/>
        <w:rPr>
          <w:rFonts w:ascii="Times New Roman" w:hAnsi="Times New Roman" w:eastAsia="宋体" w:cs="Times New Roman"/>
          <w:sz w:val="28"/>
          <w:szCs w:val="28"/>
        </w:rPr>
      </w:pPr>
      <w:bookmarkStart w:id="2" w:name="_Toc525723970"/>
      <w:r>
        <w:rPr>
          <w:rFonts w:ascii="Times New Roman" w:hAnsi="Times New Roman" w:eastAsia="宋体" w:cs="Times New Roman"/>
          <w:sz w:val="28"/>
          <w:szCs w:val="28"/>
        </w:rPr>
        <w:t>技术参数</w:t>
      </w:r>
      <w:bookmarkEnd w:id="2"/>
    </w:p>
    <w:tbl>
      <w:tblPr>
        <w:tblStyle w:val="12"/>
        <w:tblW w:w="64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2473"/>
        <w:gridCol w:w="21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787" w:type="dxa"/>
            <w:tcBorders>
              <w:top w:val="single" w:color="auto" w:sz="6" w:space="0"/>
              <w:lef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 w:val="24"/>
                <w:szCs w:val="24"/>
              </w:rPr>
              <w:t>型号</w:t>
            </w:r>
          </w:p>
        </w:tc>
        <w:tc>
          <w:tcPr>
            <w:tcW w:w="4652" w:type="dxa"/>
            <w:gridSpan w:val="2"/>
            <w:tcBorders>
              <w:top w:val="single" w:color="auto" w:sz="6" w:space="0"/>
              <w:righ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DDM-206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 w:val="24"/>
                <w:szCs w:val="24"/>
              </w:rPr>
              <w:t>原理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电极法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787" w:type="dxa"/>
            <w:vMerge w:val="restart"/>
            <w:tcBorders>
              <w:lef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 w:val="24"/>
                <w:szCs w:val="24"/>
              </w:rPr>
              <w:t>量程范围和分辨率</w:t>
            </w:r>
          </w:p>
        </w:tc>
        <w:tc>
          <w:tcPr>
            <w:tcW w:w="2473" w:type="dxa"/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0～20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μS/cm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（TDS </w:t>
            </w:r>
            <w:bookmarkStart w:id="40" w:name="_GoBack"/>
            <w:bookmarkEnd w:id="40"/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0-10 mg/L)</w:t>
            </w:r>
          </w:p>
        </w:tc>
        <w:tc>
          <w:tcPr>
            <w:tcW w:w="2179" w:type="dxa"/>
            <w:tcBorders>
              <w:righ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787" w:type="dxa"/>
            <w:vMerge w:val="continue"/>
            <w:tcBorders>
              <w:lef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 w:val="24"/>
                <w:szCs w:val="24"/>
              </w:rPr>
            </w:pPr>
          </w:p>
        </w:tc>
        <w:tc>
          <w:tcPr>
            <w:tcW w:w="2473" w:type="dxa"/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0～200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μS/cm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（TDS 0-100 mg/L)</w:t>
            </w:r>
          </w:p>
        </w:tc>
        <w:tc>
          <w:tcPr>
            <w:tcW w:w="2179" w:type="dxa"/>
            <w:tcBorders>
              <w:righ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787" w:type="dxa"/>
            <w:vMerge w:val="continue"/>
            <w:tcBorders>
              <w:lef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 w:val="24"/>
                <w:szCs w:val="24"/>
              </w:rPr>
            </w:pPr>
          </w:p>
        </w:tc>
        <w:tc>
          <w:tcPr>
            <w:tcW w:w="2473" w:type="dxa"/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0～5000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μS/cm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（TDS 0-3000 mg/L)</w:t>
            </w:r>
          </w:p>
        </w:tc>
        <w:tc>
          <w:tcPr>
            <w:tcW w:w="2179" w:type="dxa"/>
            <w:tcBorders>
              <w:righ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vMerge w:val="continue"/>
            <w:tcBorders>
              <w:lef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 w:val="24"/>
                <w:szCs w:val="24"/>
              </w:rPr>
            </w:pPr>
          </w:p>
        </w:tc>
        <w:tc>
          <w:tcPr>
            <w:tcW w:w="2473" w:type="dxa"/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0～200 mS/cm</w:t>
            </w:r>
          </w:p>
        </w:tc>
        <w:tc>
          <w:tcPr>
            <w:tcW w:w="2179" w:type="dxa"/>
            <w:tcBorders>
              <w:right w:val="single" w:color="auto" w:sz="6" w:space="0"/>
            </w:tcBorders>
            <w:shd w:val="clear" w:color="FFFFFF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精度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ind w:firstLine="1680" w:firstLineChars="700"/>
              <w:rPr>
                <w:rFonts w:ascii="Times New Roman" w:hAnsi="Times New Roman"/>
                <w:bCs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±1.5%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；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±0.3℃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响应时间（T90）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ind w:firstLine="1680" w:firstLineChars="700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＜10s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vMerge w:val="restart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最低检出限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0.2mS/cm（0-200mS/cm）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vMerge w:val="continue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0.1mS/cm（0-100mS/cm）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vMerge w:val="continue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2uS/cm（0-5000uS/cm）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校准方式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两点校准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kern w:val="0"/>
                <w:sz w:val="24"/>
                <w:szCs w:val="24"/>
              </w:rPr>
              <w:t>清洁方式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温度补偿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自动温度补偿</w:t>
            </w:r>
            <w:r>
              <w:rPr>
                <w:rFonts w:hint="eastAsia"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Pt1000</w:t>
            </w:r>
            <w:r>
              <w:rPr>
                <w:rFonts w:hint="eastAsia" w:ascii="Times New Roman" w:hAnsi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输出方式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RS-485(Modbus</w:t>
            </w:r>
            <w:r>
              <w:rPr>
                <w:rFonts w:hint="eastAsia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RTU)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</w:rPr>
              <w:t>存储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温度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-5～65℃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工作</w:t>
            </w: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条件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0～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0℃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/>
                <w:sz w:val="24"/>
                <w:szCs w:val="24"/>
              </w:rPr>
              <w:t>≤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外壳材质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安装方式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</w:rPr>
              <w:t>投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入式安装，3/4</w:t>
            </w: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 xml:space="preserve">NPT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功耗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W@12V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787" w:type="dxa"/>
            <w:tcBorders>
              <w:lef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供电</w:t>
            </w:r>
          </w:p>
        </w:tc>
        <w:tc>
          <w:tcPr>
            <w:tcW w:w="4652" w:type="dxa"/>
            <w:gridSpan w:val="2"/>
            <w:tcBorders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12～24V</w:t>
            </w: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87" w:type="dxa"/>
            <w:tcBorders>
              <w:left w:val="single" w:color="auto" w:sz="6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防护等级</w:t>
            </w:r>
          </w:p>
        </w:tc>
        <w:tc>
          <w:tcPr>
            <w:tcW w:w="4652" w:type="dxa"/>
            <w:gridSpan w:val="2"/>
            <w:tcBorders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IP68</w:t>
            </w:r>
          </w:p>
        </w:tc>
      </w:tr>
    </w:tbl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pStyle w:val="4"/>
        <w:numPr>
          <w:ilvl w:val="0"/>
          <w:numId w:val="5"/>
        </w:numPr>
        <w:ind w:left="840"/>
        <w:rPr>
          <w:rFonts w:ascii="Times New Roman" w:hAnsi="Times New Roman" w:eastAsia="宋体" w:cs="Times New Roman"/>
          <w:sz w:val="28"/>
          <w:szCs w:val="28"/>
        </w:rPr>
      </w:pPr>
      <w:bookmarkStart w:id="3" w:name="_Toc525723971"/>
      <w:r>
        <w:rPr>
          <w:rFonts w:ascii="Times New Roman" w:hAnsi="Times New Roman" w:eastAsia="宋体" w:cs="Times New Roman"/>
          <w:sz w:val="28"/>
          <w:szCs w:val="28"/>
        </w:rPr>
        <w:t>尺寸图</w:t>
      </w:r>
      <w:bookmarkEnd w:id="3"/>
    </w:p>
    <w:p>
      <w:pPr>
        <w:pStyle w:val="27"/>
        <w:numPr>
          <w:ilvl w:val="0"/>
          <w:numId w:val="6"/>
        </w:numPr>
        <w:ind w:firstLineChars="0"/>
        <w:rPr>
          <w:rFonts w:ascii="Times New Roman" w:hAnsi="Times New Roman" w:eastAsia="宋体" w:cs="Times New Roman"/>
          <w:b/>
          <w:vanish/>
          <w:kern w:val="0"/>
          <w:sz w:val="28"/>
          <w:szCs w:val="28"/>
        </w:rPr>
      </w:pPr>
    </w:p>
    <w:p>
      <w:pPr>
        <w:pStyle w:val="27"/>
        <w:numPr>
          <w:ilvl w:val="0"/>
          <w:numId w:val="6"/>
        </w:numPr>
        <w:ind w:firstLineChars="0"/>
        <w:rPr>
          <w:rFonts w:ascii="Times New Roman" w:hAnsi="Times New Roman" w:eastAsia="宋体" w:cs="Times New Roman"/>
          <w:b/>
          <w:vanish/>
          <w:kern w:val="0"/>
          <w:sz w:val="28"/>
          <w:szCs w:val="28"/>
        </w:rPr>
      </w:pPr>
    </w:p>
    <w:p>
      <w:pPr>
        <w:pStyle w:val="23"/>
        <w:numPr>
          <w:ilvl w:val="1"/>
          <w:numId w:val="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DDM-206</w:t>
      </w:r>
      <w:r>
        <w:rPr>
          <w:rFonts w:hint="eastAsia" w:ascii="Times New Roman" w:hAnsi="Times New Roman"/>
          <w:b/>
          <w:kern w:val="0"/>
          <w:szCs w:val="28"/>
        </w:rPr>
        <w:t>（量程：</w:t>
      </w:r>
      <w:r>
        <w:rPr>
          <w:rFonts w:ascii="Times New Roman" w:hAnsi="Times New Roman"/>
          <w:b/>
          <w:kern w:val="0"/>
          <w:szCs w:val="28"/>
        </w:rPr>
        <w:t>0～20.00μS/cm</w:t>
      </w:r>
      <w:r>
        <w:rPr>
          <w:rFonts w:hint="eastAsia" w:ascii="Times New Roman" w:hAnsi="Times New Roman"/>
          <w:b/>
          <w:kern w:val="0"/>
          <w:szCs w:val="28"/>
        </w:rPr>
        <w:t>）</w:t>
      </w:r>
    </w:p>
    <w:p>
      <w:pPr>
        <w:pStyle w:val="23"/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</w:rPr>
        <w:drawing>
          <wp:inline distT="0" distB="0" distL="0" distR="0">
            <wp:extent cx="6188710" cy="2054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1"/>
          <w:numId w:val="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DDM-206</w:t>
      </w:r>
      <w:r>
        <w:rPr>
          <w:rFonts w:hint="eastAsia" w:ascii="Times New Roman" w:hAnsi="Times New Roman"/>
          <w:b/>
          <w:kern w:val="0"/>
          <w:szCs w:val="28"/>
        </w:rPr>
        <w:t>（量程：</w:t>
      </w:r>
      <w:r>
        <w:rPr>
          <w:rFonts w:ascii="Times New Roman" w:hAnsi="Times New Roman"/>
          <w:b/>
          <w:kern w:val="0"/>
          <w:szCs w:val="28"/>
        </w:rPr>
        <w:t>0～200.0μS/cm</w:t>
      </w:r>
      <w:r>
        <w:rPr>
          <w:rFonts w:hint="eastAsia" w:ascii="Times New Roman" w:hAnsi="Times New Roman"/>
          <w:b/>
          <w:kern w:val="0"/>
          <w:szCs w:val="28"/>
        </w:rPr>
        <w:t>）</w:t>
      </w:r>
    </w:p>
    <w:p>
      <w:pPr>
        <w:pStyle w:val="23"/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</w:rPr>
        <w:drawing>
          <wp:inline distT="0" distB="0" distL="0" distR="0">
            <wp:extent cx="6188710" cy="18357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1"/>
          <w:numId w:val="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DDM-206</w:t>
      </w:r>
      <w:r>
        <w:rPr>
          <w:rFonts w:hint="eastAsia" w:ascii="Times New Roman" w:hAnsi="Times New Roman"/>
          <w:b/>
          <w:kern w:val="0"/>
          <w:szCs w:val="28"/>
        </w:rPr>
        <w:t>（量程：</w:t>
      </w:r>
      <w:r>
        <w:rPr>
          <w:rFonts w:ascii="Times New Roman" w:hAnsi="Times New Roman"/>
          <w:b/>
          <w:kern w:val="0"/>
          <w:szCs w:val="28"/>
        </w:rPr>
        <w:t>0～5000μS/cm</w:t>
      </w:r>
      <w:r>
        <w:rPr>
          <w:rFonts w:hint="eastAsia" w:ascii="Times New Roman" w:hAnsi="Times New Roman"/>
          <w:b/>
          <w:kern w:val="0"/>
          <w:szCs w:val="28"/>
        </w:rPr>
        <w:t>）</w:t>
      </w:r>
    </w:p>
    <w:p>
      <w:pPr>
        <w:pStyle w:val="23"/>
        <w:suppressAutoHyphens w:val="0"/>
        <w:ind w:firstLine="0"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drawing>
          <wp:inline distT="0" distB="0" distL="0" distR="0">
            <wp:extent cx="6188710" cy="20453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uppressAutoHyphens w:val="0"/>
        <w:ind w:firstLine="0"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kern w:val="0"/>
          <w:sz w:val="24"/>
        </w:rPr>
        <w:t>注：传感器接头为M16-5芯防水接头公头</w:t>
      </w:r>
    </w:p>
    <w:p>
      <w:pPr>
        <w:pStyle w:val="23"/>
        <w:suppressAutoHyphens w:val="0"/>
        <w:ind w:firstLine="0" w:firstLineChars="0"/>
        <w:jc w:val="both"/>
        <w:rPr>
          <w:rFonts w:ascii="Times New Roman" w:hAnsi="Times New Roman"/>
          <w:b/>
          <w:kern w:val="0"/>
          <w:szCs w:val="28"/>
        </w:rPr>
      </w:pPr>
    </w:p>
    <w:p>
      <w:pPr>
        <w:pStyle w:val="23"/>
        <w:numPr>
          <w:ilvl w:val="1"/>
          <w:numId w:val="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DDM-206</w:t>
      </w:r>
      <w:r>
        <w:rPr>
          <w:rFonts w:hint="eastAsia" w:ascii="Times New Roman" w:hAnsi="Times New Roman"/>
          <w:b/>
          <w:kern w:val="0"/>
          <w:szCs w:val="28"/>
        </w:rPr>
        <w:t>（量程：</w:t>
      </w:r>
      <w:r>
        <w:rPr>
          <w:rFonts w:ascii="Times New Roman" w:hAnsi="Times New Roman"/>
          <w:b/>
          <w:kern w:val="0"/>
          <w:szCs w:val="28"/>
        </w:rPr>
        <w:t>0～200.0mS/cm</w:t>
      </w:r>
      <w:r>
        <w:rPr>
          <w:rFonts w:hint="eastAsia" w:ascii="Times New Roman" w:hAnsi="Times New Roman"/>
          <w:b/>
          <w:kern w:val="0"/>
          <w:szCs w:val="28"/>
        </w:rPr>
        <w:t>）</w:t>
      </w:r>
    </w:p>
    <w:p>
      <w:pPr>
        <w:pStyle w:val="23"/>
        <w:suppressAutoHyphens w:val="0"/>
        <w:ind w:firstLine="0"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</w:rPr>
        <w:drawing>
          <wp:inline distT="0" distB="0" distL="0" distR="0">
            <wp:extent cx="6188710" cy="1748155"/>
            <wp:effectExtent l="0" t="0" r="0" b="0"/>
            <wp:docPr id="4" name="图片 4" descr="C:\Users\86231\Documents\Tencent Files\2920901034\Image\C2C\BT(GBY@Q9[67LH2_(V`_Q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231\Documents\Tencent Files\2920901034\Image\C2C\BT(GBY@Q9[67LH2_(V`_Q9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suppressAutoHyphens w:val="0"/>
        <w:ind w:firstLine="0" w:firstLineChars="0"/>
        <w:jc w:val="both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注：传感器接头为M16-5芯防水接头公头</w:t>
      </w:r>
    </w:p>
    <w:p>
      <w:pPr>
        <w:pStyle w:val="3"/>
        <w:numPr>
          <w:ilvl w:val="0"/>
          <w:numId w:val="2"/>
        </w:numPr>
        <w:spacing w:beforeLines="100" w:afterLines="100" w:line="240" w:lineRule="auto"/>
        <w:ind w:left="0" w:firstLine="321"/>
        <w:rPr>
          <w:rFonts w:ascii="Times New Roman" w:hAnsi="Times New Roman" w:eastAsia="宋体" w:cs="Times New Roman"/>
        </w:rPr>
      </w:pPr>
      <w:bookmarkStart w:id="4" w:name="_Toc525723972"/>
      <w:r>
        <w:rPr>
          <w:rFonts w:ascii="Times New Roman" w:hAnsi="Times New Roman" w:eastAsia="宋体" w:cs="Times New Roman"/>
        </w:rPr>
        <w:t>安装和电气连接</w:t>
      </w:r>
      <w:bookmarkEnd w:id="4"/>
    </w:p>
    <w:p>
      <w:pPr>
        <w:pStyle w:val="4"/>
        <w:numPr>
          <w:ilvl w:val="0"/>
          <w:numId w:val="7"/>
        </w:numPr>
        <w:ind w:left="840"/>
        <w:rPr>
          <w:rFonts w:ascii="Times New Roman" w:hAnsi="Times New Roman" w:eastAsia="宋体" w:cs="Times New Roman"/>
          <w:sz w:val="28"/>
          <w:szCs w:val="28"/>
        </w:rPr>
      </w:pPr>
      <w:bookmarkStart w:id="5" w:name="_Toc525723973"/>
      <w:r>
        <w:rPr>
          <w:rFonts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396875</wp:posOffset>
            </wp:positionV>
            <wp:extent cx="5605780" cy="2466975"/>
            <wp:effectExtent l="19050" t="0" r="0" b="0"/>
            <wp:wrapNone/>
            <wp:docPr id="3" name="Picture 192" descr="PH电极常用安装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2" descr="PH电极常用安装方法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8"/>
          <w:szCs w:val="28"/>
        </w:rPr>
        <w:t>安装</w:t>
      </w:r>
      <w:bookmarkEnd w:id="5"/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pStyle w:val="26"/>
        <w:ind w:left="420" w:right="280"/>
        <w:rPr>
          <w:color w:val="FF0000"/>
        </w:rPr>
      </w:pPr>
      <w:bookmarkStart w:id="6" w:name="幻灯片编号_8"/>
      <w:bookmarkEnd w:id="6"/>
      <w:bookmarkStart w:id="7" w:name="幻灯片编号_7"/>
      <w:bookmarkEnd w:id="7"/>
      <w:r>
        <w:rPr>
          <w:color w:val="auto"/>
        </w:rPr>
        <w:t>注意：DDM-206A-1.0和DDM-206A/206S-SI安装测试时离容器的底部和侧壁至少2 cm。</w:t>
      </w:r>
    </w:p>
    <w:p>
      <w:pPr>
        <w:pStyle w:val="4"/>
        <w:numPr>
          <w:ilvl w:val="0"/>
          <w:numId w:val="7"/>
        </w:numPr>
        <w:ind w:left="840"/>
        <w:rPr>
          <w:rFonts w:ascii="Times New Roman" w:hAnsi="Times New Roman" w:eastAsia="宋体" w:cs="Times New Roman"/>
          <w:sz w:val="28"/>
          <w:szCs w:val="28"/>
        </w:rPr>
      </w:pPr>
      <w:bookmarkStart w:id="8" w:name="_Toc525723974"/>
      <w:r>
        <w:rPr>
          <w:rFonts w:ascii="Times New Roman" w:hAnsi="Times New Roman" w:eastAsia="宋体" w:cs="Times New Roman"/>
          <w:sz w:val="28"/>
          <w:szCs w:val="28"/>
        </w:rPr>
        <w:t>电气连接</w:t>
      </w:r>
      <w:bookmarkEnd w:id="8"/>
    </w:p>
    <w:p>
      <w:pPr>
        <w:ind w:firstLine="484" w:firstLineChars="202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线缆为4芯双绞屏蔽线，线序定义：</w:t>
      </w:r>
    </w:p>
    <w:p>
      <w:pPr>
        <w:pStyle w:val="23"/>
        <w:numPr>
          <w:ilvl w:val="0"/>
          <w:numId w:val="8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红色线—电源线（12～24VDC）</w:t>
      </w:r>
    </w:p>
    <w:p>
      <w:pPr>
        <w:pStyle w:val="23"/>
        <w:numPr>
          <w:ilvl w:val="0"/>
          <w:numId w:val="8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黑色线—地线（GND）</w:t>
      </w:r>
    </w:p>
    <w:p>
      <w:pPr>
        <w:pStyle w:val="23"/>
        <w:numPr>
          <w:ilvl w:val="0"/>
          <w:numId w:val="8"/>
        </w:numPr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蓝色线—485A</w:t>
      </w:r>
    </w:p>
    <w:p>
      <w:pPr>
        <w:pStyle w:val="23"/>
        <w:numPr>
          <w:ilvl w:val="0"/>
          <w:numId w:val="8"/>
        </w:numPr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白色线—485B</w:t>
      </w:r>
    </w:p>
    <w:p>
      <w:pPr>
        <w:pStyle w:val="23"/>
        <w:spacing w:beforeLines="50"/>
        <w:ind w:firstLineChars="0"/>
        <w:rPr>
          <w:rFonts w:ascii="Times New Roman" w:hAnsi="Times New Roman"/>
          <w:sz w:val="24"/>
        </w:rPr>
      </w:pPr>
      <w:bookmarkStart w:id="9" w:name="_Toc496261164"/>
      <w:bookmarkStart w:id="10" w:name="_Toc494377400"/>
      <w:r>
        <w:rPr>
          <w:rFonts w:ascii="Times New Roman" w:hAnsi="Times New Roman"/>
          <w:sz w:val="24"/>
        </w:rPr>
        <w:t>通电前应仔细检查接线顺序，避免因接线错误而造成不必要的损失。</w:t>
      </w:r>
    </w:p>
    <w:p>
      <w:pPr>
        <w:pStyle w:val="23"/>
        <w:spacing w:beforeLines="50"/>
        <w:ind w:firstLineChars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接线说明：</w:t>
      </w:r>
      <w:r>
        <w:rPr>
          <w:rFonts w:ascii="Times New Roman" w:hAnsi="Times New Roman"/>
          <w:sz w:val="24"/>
        </w:rPr>
        <w:t>考虑到线缆长期浸泡在水中（包括海水）或暴露在空气中，所有接线处均要求做防水处理，用户线缆应具有一定的防腐蚀能力。</w:t>
      </w:r>
      <w:bookmarkEnd w:id="9"/>
      <w:bookmarkEnd w:id="10"/>
    </w:p>
    <w:p>
      <w:pPr>
        <w:pStyle w:val="23"/>
        <w:suppressAutoHyphens w:val="0"/>
        <w:ind w:firstLineChars="0"/>
        <w:jc w:val="both"/>
        <w:rPr>
          <w:rFonts w:ascii="Times New Roman" w:hAnsi="Times New Roman"/>
          <w:sz w:val="24"/>
        </w:rPr>
      </w:pPr>
    </w:p>
    <w:p>
      <w:pPr>
        <w:pStyle w:val="3"/>
        <w:numPr>
          <w:ilvl w:val="0"/>
          <w:numId w:val="2"/>
        </w:numPr>
        <w:spacing w:beforeLines="100" w:afterLines="50" w:line="240" w:lineRule="auto"/>
        <w:ind w:left="0" w:firstLine="323"/>
        <w:rPr>
          <w:rFonts w:ascii="Times New Roman" w:hAnsi="Times New Roman" w:eastAsia="宋体" w:cs="Times New Roman"/>
        </w:rPr>
      </w:pPr>
      <w:bookmarkStart w:id="11" w:name="_Toc525723975"/>
      <w:bookmarkStart w:id="12" w:name="_Toc496942641"/>
      <w:bookmarkStart w:id="13" w:name="_Toc494117817"/>
      <w:r>
        <w:rPr>
          <w:rFonts w:ascii="Times New Roman" w:hAnsi="Times New Roman" w:eastAsia="宋体" w:cs="Times New Roman"/>
        </w:rPr>
        <w:t>维护和保养</w:t>
      </w:r>
      <w:bookmarkEnd w:id="11"/>
      <w:bookmarkEnd w:id="12"/>
      <w:bookmarkEnd w:id="13"/>
    </w:p>
    <w:p>
      <w:pPr>
        <w:pStyle w:val="4"/>
        <w:numPr>
          <w:ilvl w:val="0"/>
          <w:numId w:val="9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</w:rPr>
      </w:pPr>
      <w:bookmarkStart w:id="14" w:name="_Toc525723976"/>
      <w:bookmarkStart w:id="15" w:name="_Toc496942642"/>
      <w:r>
        <w:rPr>
          <w:rFonts w:ascii="Times New Roman" w:hAnsi="Times New Roman" w:eastAsia="宋体" w:cs="Times New Roman"/>
          <w:sz w:val="28"/>
          <w:szCs w:val="28"/>
        </w:rPr>
        <w:t>使用和保养</w:t>
      </w:r>
      <w:bookmarkEnd w:id="14"/>
      <w:bookmarkEnd w:id="15"/>
    </w:p>
    <w:p>
      <w:pPr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常规的电极需要进行周期性的清洗和校准，保养周期由客户根据自己的工况来决定。常规电极的清洗方法：用软毛刷清除附着物（注意避免划伤电极表面），再用蒸馏水清洗，之后进行校准操作。</w:t>
      </w:r>
    </w:p>
    <w:p>
      <w:pPr>
        <w:ind w:firstLine="4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电感式电极的清洗方法：</w:t>
      </w:r>
    </w:p>
    <w:p>
      <w:pPr>
        <w:numPr>
          <w:ilvl w:val="0"/>
          <w:numId w:val="10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电感式电极基本属于免维护，外壳的污染或轻度结垢不影响其正常工作。</w:t>
      </w:r>
    </w:p>
    <w:p>
      <w:pPr>
        <w:numPr>
          <w:ilvl w:val="0"/>
          <w:numId w:val="10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如需清洗，用软毛刷或砂纸清除附着物，再用蒸馏水清洗，之后进行校准操作。</w:t>
      </w:r>
    </w:p>
    <w:p>
      <w:pPr>
        <w:numPr>
          <w:ilvl w:val="0"/>
          <w:numId w:val="10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由于电感式电极常工作在易结垢或脏污的环境中，清洗时可适当的加大力度。轻微划伤电极表面不影响电极的正常工作，但要避免穿透电极的外壳。</w:t>
      </w:r>
    </w:p>
    <w:p>
      <w:pPr>
        <w:pStyle w:val="4"/>
        <w:numPr>
          <w:ilvl w:val="0"/>
          <w:numId w:val="9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16" w:name="_Toc525723977"/>
      <w:r>
        <w:rPr>
          <w:rFonts w:ascii="Times New Roman" w:hAnsi="Times New Roman" w:eastAsia="宋体" w:cs="Times New Roman"/>
          <w:sz w:val="28"/>
          <w:szCs w:val="28"/>
        </w:rPr>
        <w:t>校准</w:t>
      </w:r>
      <w:bookmarkEnd w:id="16"/>
    </w:p>
    <w:p>
      <w:pPr>
        <w:numPr>
          <w:ilvl w:val="0"/>
          <w:numId w:val="11"/>
        </w:numPr>
        <w:ind w:firstLine="420"/>
        <w:rPr>
          <w:rFonts w:ascii="Times New Roman" w:hAnsi="Times New Roman" w:eastAsia="宋体" w:cs="Times New Roman"/>
          <w:kern w:val="1"/>
          <w:sz w:val="24"/>
          <w:szCs w:val="24"/>
        </w:rPr>
      </w:pPr>
      <w:r>
        <w:rPr>
          <w:rFonts w:ascii="Times New Roman" w:hAnsi="Times New Roman" w:eastAsia="宋体" w:cs="Times New Roman"/>
          <w:kern w:val="1"/>
          <w:sz w:val="24"/>
          <w:szCs w:val="24"/>
        </w:rPr>
        <w:t>零点校准</w:t>
      </w:r>
    </w:p>
    <w:p>
      <w:pPr>
        <w:ind w:firstLine="480" w:firstLineChars="200"/>
        <w:rPr>
          <w:rFonts w:ascii="Times New Roman" w:hAnsi="Times New Roman" w:eastAsia="宋体" w:cs="Times New Roman"/>
          <w:kern w:val="1"/>
          <w:sz w:val="24"/>
          <w:szCs w:val="24"/>
        </w:rPr>
      </w:pPr>
      <w:r>
        <w:rPr>
          <w:rFonts w:ascii="Times New Roman" w:hAnsi="Times New Roman" w:eastAsia="宋体" w:cs="Times New Roman"/>
          <w:kern w:val="1"/>
          <w:sz w:val="24"/>
          <w:szCs w:val="24"/>
        </w:rPr>
        <w:t>用蒸馏水冲洗传感器，用滤纸将液体吸干。将传感器接通电源竖直放置在空气中，静置约3分钟，待数值稳定后，进行零点校准。校准指令详见附录。</w:t>
      </w:r>
    </w:p>
    <w:p>
      <w:pPr>
        <w:ind w:left="420"/>
        <w:rPr>
          <w:rFonts w:ascii="Times New Roman" w:hAnsi="Times New Roman" w:eastAsia="宋体" w:cs="Times New Roman"/>
          <w:kern w:val="1"/>
          <w:sz w:val="24"/>
          <w:szCs w:val="24"/>
        </w:rPr>
      </w:pPr>
      <w:r>
        <w:rPr>
          <w:rFonts w:ascii="Times New Roman" w:hAnsi="Times New Roman" w:eastAsia="宋体" w:cs="Times New Roman"/>
          <w:kern w:val="1"/>
          <w:sz w:val="24"/>
          <w:szCs w:val="24"/>
        </w:rPr>
        <w:t>b）斜率校准</w:t>
      </w:r>
    </w:p>
    <w:p>
      <w:pPr>
        <w:ind w:firstLine="48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kern w:val="1"/>
          <w:sz w:val="24"/>
          <w:szCs w:val="24"/>
        </w:rPr>
        <w:t>将传感器垂直放置于标准溶液（20%满量程—满量程）中，注意传感器离容器的底部和侧壁至少2 cm，</w:t>
      </w:r>
      <w:r>
        <w:rPr>
          <w:rFonts w:ascii="Times New Roman" w:hAnsi="Times New Roman" w:eastAsia="宋体" w:cs="Times New Roman"/>
          <w:sz w:val="24"/>
          <w:szCs w:val="24"/>
        </w:rPr>
        <w:t>进行斜率校准。</w:t>
      </w:r>
      <w:r>
        <w:rPr>
          <w:rFonts w:ascii="Times New Roman" w:hAnsi="Times New Roman" w:eastAsia="宋体" w:cs="Times New Roman"/>
          <w:kern w:val="1"/>
          <w:sz w:val="24"/>
          <w:szCs w:val="24"/>
        </w:rPr>
        <w:t>校准指令详见附录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>
      <w:pPr>
        <w:pStyle w:val="3"/>
        <w:numPr>
          <w:ilvl w:val="0"/>
          <w:numId w:val="2"/>
        </w:numPr>
        <w:spacing w:beforeLines="100" w:afterLines="50" w:line="240" w:lineRule="auto"/>
        <w:ind w:left="0" w:firstLine="323"/>
        <w:rPr>
          <w:rFonts w:ascii="Times New Roman" w:hAnsi="Times New Roman" w:eastAsia="宋体" w:cs="Times New Roman"/>
        </w:rPr>
      </w:pPr>
      <w:bookmarkStart w:id="17" w:name="_Toc525723978"/>
      <w:bookmarkStart w:id="18" w:name="_Toc494117818"/>
      <w:bookmarkStart w:id="19" w:name="_Toc496942644"/>
      <w:r>
        <w:rPr>
          <w:rFonts w:ascii="Times New Roman" w:hAnsi="Times New Roman" w:eastAsia="宋体" w:cs="Times New Roman"/>
        </w:rPr>
        <w:t>质量和服务</w:t>
      </w:r>
      <w:bookmarkEnd w:id="17"/>
      <w:bookmarkEnd w:id="18"/>
      <w:bookmarkEnd w:id="19"/>
    </w:p>
    <w:p>
      <w:pPr>
        <w:pStyle w:val="4"/>
        <w:numPr>
          <w:ilvl w:val="0"/>
          <w:numId w:val="12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20" w:name="_Toc525723979"/>
      <w:bookmarkStart w:id="21" w:name="_Toc496942645"/>
      <w:bookmarkStart w:id="22" w:name="_Toc492393682"/>
      <w:r>
        <w:rPr>
          <w:rFonts w:ascii="Times New Roman" w:hAnsi="Times New Roman" w:eastAsia="宋体" w:cs="Times New Roman"/>
          <w:sz w:val="28"/>
          <w:szCs w:val="28"/>
        </w:rPr>
        <w:t>质量保证</w:t>
      </w:r>
      <w:bookmarkEnd w:id="20"/>
      <w:bookmarkEnd w:id="21"/>
      <w:bookmarkEnd w:id="22"/>
    </w:p>
    <w:p>
      <w:pPr>
        <w:numPr>
          <w:ilvl w:val="0"/>
          <w:numId w:val="13"/>
        </w:numPr>
        <w:tabs>
          <w:tab w:val="left" w:pos="420"/>
        </w:tabs>
        <w:ind w:left="0"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质检部门有规范的检验规程，具备先进完善的检测设备和手段，并严格按照规程检验，对产品做72小时老化实验、稳定性实验，不让一支不合格产品出厂。</w:t>
      </w:r>
    </w:p>
    <w:p>
      <w:pPr>
        <w:numPr>
          <w:ilvl w:val="0"/>
          <w:numId w:val="13"/>
        </w:numPr>
        <w:tabs>
          <w:tab w:val="left" w:pos="420"/>
        </w:tabs>
        <w:ind w:left="0" w:firstLine="480" w:firstLineChars="200"/>
        <w:rPr>
          <w:rFonts w:ascii="Times New Roman" w:hAnsi="Times New Roman" w:eastAsia="宋体" w:cs="Times New Roman"/>
          <w:szCs w:val="28"/>
          <w:shd w:val="clear" w:color="FFFFFF" w:fill="D9D9D9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收货方对不合格率达到2%的产品批次直接退回，所有产生的费用由供货方承担。检测标准参考供货方提供的产品说明。</w:t>
      </w:r>
    </w:p>
    <w:p>
      <w:pPr>
        <w:numPr>
          <w:ilvl w:val="0"/>
          <w:numId w:val="13"/>
        </w:numPr>
        <w:tabs>
          <w:tab w:val="left" w:pos="420"/>
        </w:tabs>
        <w:ind w:left="0" w:firstLine="480" w:firstLineChars="200"/>
        <w:rPr>
          <w:rFonts w:ascii="Times New Roman" w:hAnsi="Times New Roman" w:eastAsia="宋体" w:cs="Times New Roman"/>
          <w:szCs w:val="28"/>
          <w:shd w:val="clear" w:color="FFFFFF" w:fill="D9D9D9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保证货源数量和出货速度。</w:t>
      </w:r>
    </w:p>
    <w:p>
      <w:pPr>
        <w:pStyle w:val="4"/>
        <w:numPr>
          <w:ilvl w:val="0"/>
          <w:numId w:val="12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23" w:name="_Toc492393683"/>
      <w:bookmarkStart w:id="24" w:name="_Toc525723980"/>
      <w:bookmarkStart w:id="25" w:name="_Toc446678251"/>
      <w:bookmarkStart w:id="26" w:name="_Toc453839765"/>
      <w:bookmarkStart w:id="27" w:name="_Toc496942646"/>
      <w:bookmarkStart w:id="28" w:name="_Toc8014"/>
      <w:bookmarkStart w:id="29" w:name="_Toc452497955"/>
      <w:bookmarkStart w:id="30" w:name="_Toc427659760"/>
      <w:r>
        <w:rPr>
          <w:rFonts w:ascii="Times New Roman" w:hAnsi="Times New Roman" w:eastAsia="宋体" w:cs="Times New Roman"/>
          <w:sz w:val="28"/>
          <w:szCs w:val="28"/>
        </w:rPr>
        <w:t>配件和备件</w:t>
      </w:r>
      <w:bookmarkEnd w:id="23"/>
      <w:bookmarkEnd w:id="24"/>
      <w:bookmarkEnd w:id="25"/>
      <w:bookmarkEnd w:id="26"/>
      <w:bookmarkEnd w:id="27"/>
      <w:bookmarkEnd w:id="28"/>
      <w:bookmarkEnd w:id="29"/>
    </w:p>
    <w:p>
      <w:pPr>
        <w:ind w:firstLine="240" w:firstLineChars="1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此产品包括：</w:t>
      </w:r>
    </w:p>
    <w:p>
      <w:pPr>
        <w:numPr>
          <w:ilvl w:val="0"/>
          <w:numId w:val="14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传感器1支</w:t>
      </w:r>
    </w:p>
    <w:p>
      <w:pPr>
        <w:numPr>
          <w:ilvl w:val="0"/>
          <w:numId w:val="14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说明书1份</w:t>
      </w:r>
    </w:p>
    <w:p>
      <w:pPr>
        <w:numPr>
          <w:ilvl w:val="0"/>
          <w:numId w:val="14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合格证1张</w:t>
      </w:r>
    </w:p>
    <w:p>
      <w:pPr>
        <w:numPr>
          <w:ilvl w:val="0"/>
          <w:numId w:val="14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线缆1根（5米）</w:t>
      </w:r>
    </w:p>
    <w:p>
      <w:pPr>
        <w:pStyle w:val="4"/>
        <w:numPr>
          <w:ilvl w:val="0"/>
          <w:numId w:val="12"/>
        </w:numPr>
        <w:spacing w:beforeLines="50" w:afterLines="50" w:line="240" w:lineRule="auto"/>
        <w:ind w:left="210" w:leftChars="100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31" w:name="_Toc496942647"/>
      <w:bookmarkStart w:id="32" w:name="_Toc525723981"/>
      <w:bookmarkStart w:id="33" w:name="_Toc492393684"/>
      <w:bookmarkStart w:id="34" w:name="_Toc452497956"/>
      <w:bookmarkStart w:id="35" w:name="_Toc453839766"/>
      <w:bookmarkStart w:id="36" w:name="_Toc19215"/>
      <w:r>
        <w:rPr>
          <w:rFonts w:ascii="Times New Roman" w:hAnsi="Times New Roman" w:eastAsia="宋体" w:cs="Times New Roman"/>
          <w:sz w:val="28"/>
          <w:szCs w:val="28"/>
        </w:rPr>
        <w:t>售后服务承诺</w:t>
      </w:r>
      <w:bookmarkEnd w:id="30"/>
      <w:bookmarkEnd w:id="31"/>
      <w:bookmarkEnd w:id="32"/>
      <w:bookmarkEnd w:id="33"/>
      <w:bookmarkEnd w:id="34"/>
      <w:bookmarkEnd w:id="35"/>
      <w:bookmarkEnd w:id="36"/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  <w:t>本公司提供自销售日起一年内的本机售后服务，但不包括不当使用所造成的损坏，若需要维修或调整，请寄回，但运费需自负，寄回时需确定包装良好以避免运送途中损坏，本公司将免费维修仪器的损坏。</w:t>
      </w: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tabs>
          <w:tab w:val="left" w:pos="420"/>
        </w:tabs>
        <w:ind w:firstLine="480" w:firstLineChars="200"/>
        <w:rPr>
          <w:rFonts w:ascii="Times New Roman" w:hAnsi="Times New Roman" w:eastAsia="宋体" w:cs="Times New Roman"/>
          <w:sz w:val="24"/>
          <w:szCs w:val="24"/>
          <w:shd w:val="clear" w:color="auto" w:fill="FFFFFF"/>
        </w:rPr>
      </w:pPr>
    </w:p>
    <w:p>
      <w:pPr>
        <w:pStyle w:val="3"/>
        <w:spacing w:beforeLines="50" w:afterLines="50" w:line="240" w:lineRule="auto"/>
        <w:jc w:val="left"/>
        <w:rPr>
          <w:rFonts w:ascii="Times New Roman" w:hAnsi="Times New Roman" w:eastAsia="宋体" w:cs="Times New Roman"/>
        </w:rPr>
      </w:pPr>
      <w:bookmarkStart w:id="37" w:name="_Toc5219"/>
      <w:bookmarkStart w:id="38" w:name="_Toc525723982"/>
      <w:r>
        <w:rPr>
          <w:rFonts w:ascii="Times New Roman" w:hAnsi="Times New Roman" w:eastAsia="宋体" w:cs="Times New Roman"/>
        </w:rPr>
        <w:t>附录</w:t>
      </w:r>
      <w:bookmarkEnd w:id="37"/>
      <w:bookmarkStart w:id="39" w:name="OLE_LINK11"/>
      <w:r>
        <w:rPr>
          <w:rFonts w:ascii="Times New Roman" w:hAnsi="Times New Roman" w:eastAsia="宋体" w:cs="Times New Roman"/>
        </w:rPr>
        <w:t xml:space="preserve">  数据通讯</w:t>
      </w:r>
      <w:bookmarkEnd w:id="38"/>
    </w:p>
    <w:p>
      <w:pPr>
        <w:pStyle w:val="23"/>
        <w:numPr>
          <w:ilvl w:val="0"/>
          <w:numId w:val="15"/>
        </w:numPr>
        <w:ind w:firstLineChars="0"/>
        <w:jc w:val="both"/>
        <w:rPr>
          <w:rFonts w:ascii="Times New Roman" w:hAnsi="Times New Roman"/>
          <w:b/>
          <w:vanish/>
          <w:szCs w:val="28"/>
        </w:rPr>
      </w:pPr>
    </w:p>
    <w:p>
      <w:pPr>
        <w:pStyle w:val="23"/>
        <w:numPr>
          <w:ilvl w:val="0"/>
          <w:numId w:val="15"/>
        </w:numPr>
        <w:ind w:firstLineChars="0"/>
        <w:jc w:val="both"/>
        <w:rPr>
          <w:rFonts w:ascii="Times New Roman" w:hAnsi="Times New Roman"/>
          <w:b/>
          <w:vanish/>
          <w:szCs w:val="28"/>
        </w:rPr>
      </w:pPr>
    </w:p>
    <w:p>
      <w:pPr>
        <w:pStyle w:val="23"/>
        <w:numPr>
          <w:ilvl w:val="0"/>
          <w:numId w:val="15"/>
        </w:numPr>
        <w:ind w:firstLineChars="0"/>
        <w:jc w:val="both"/>
        <w:rPr>
          <w:rFonts w:ascii="Times New Roman" w:hAnsi="Times New Roman"/>
          <w:b/>
          <w:vanish/>
          <w:szCs w:val="28"/>
        </w:rPr>
      </w:pPr>
    </w:p>
    <w:p>
      <w:pPr>
        <w:pStyle w:val="23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数据格式</w:t>
      </w:r>
    </w:p>
    <w:bookmarkEnd w:id="39"/>
    <w:p>
      <w:pPr>
        <w:ind w:firstLine="425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Modbus通信默认的数据格式为： 9600、n、8、1（波特率9600bps、1个起始位、8个数据位、无校验、1个停止位）。</w:t>
      </w:r>
    </w:p>
    <w:p>
      <w:pPr>
        <w:ind w:firstLine="425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波特率等参数可以定制。</w:t>
      </w:r>
    </w:p>
    <w:p>
      <w:pPr>
        <w:pStyle w:val="23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信息帧格式</w:t>
      </w:r>
      <w:r>
        <w:rPr>
          <w:rFonts w:ascii="Times New Roman" w:hAnsi="Times New Roman"/>
          <w:bCs/>
          <w:kern w:val="0"/>
          <w:szCs w:val="28"/>
        </w:rPr>
        <w:t>（xx代表一个字节）</w:t>
      </w:r>
    </w:p>
    <w:p>
      <w:pPr>
        <w:pStyle w:val="23"/>
        <w:numPr>
          <w:ilvl w:val="0"/>
          <w:numId w:val="17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读数据指令帧：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01        03       xx    xx       xx    xx        xx  xx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地址    功能码    寄存器地址     寄存器数量    CRC校验码（低字节在前）</w:t>
      </w:r>
    </w:p>
    <w:p>
      <w:pPr>
        <w:pStyle w:val="23"/>
        <w:numPr>
          <w:ilvl w:val="0"/>
          <w:numId w:val="17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读数据应答帧：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01        03        xx            xx……xx        xx  xx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地址    功能码    字节数         应答数据      CRC校验码（低字节在前）</w:t>
      </w:r>
    </w:p>
    <w:p>
      <w:pPr>
        <w:pStyle w:val="23"/>
        <w:numPr>
          <w:ilvl w:val="0"/>
          <w:numId w:val="17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写数据指令帧：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01        06       xx    xx       xx    xx        xx  xx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地址    功能码    寄存器地址     写入数据      CRC校验码（低字节在前）</w:t>
      </w:r>
    </w:p>
    <w:p>
      <w:pPr>
        <w:pStyle w:val="23"/>
        <w:numPr>
          <w:ilvl w:val="0"/>
          <w:numId w:val="17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写数据应答帧（同写数据指令帧）：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01        06       xx    xx       xx    xx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 xml:space="preserve">      xx  xx</w:t>
      </w:r>
    </w:p>
    <w:p>
      <w:pPr>
        <w:ind w:firstLine="720" w:firstLineChars="3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地址    功能码    寄存器地址     写入数据      CRC校验码（低字节在前）</w:t>
      </w:r>
    </w:p>
    <w:p>
      <w:pPr>
        <w:pStyle w:val="23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寄存器地址</w:t>
      </w:r>
    </w:p>
    <w:tbl>
      <w:tblPr>
        <w:tblStyle w:val="13"/>
        <w:tblW w:w="927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91"/>
        <w:gridCol w:w="3420"/>
        <w:gridCol w:w="1524"/>
        <w:gridCol w:w="13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寄存器地址</w:t>
            </w:r>
          </w:p>
        </w:tc>
        <w:tc>
          <w:tcPr>
            <w:tcW w:w="1591" w:type="dxa"/>
            <w:tcBorders>
              <w:top w:val="single" w:color="auto" w:sz="6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名称</w:t>
            </w:r>
          </w:p>
        </w:tc>
        <w:tc>
          <w:tcPr>
            <w:tcW w:w="3420" w:type="dxa"/>
            <w:tcBorders>
              <w:top w:val="single" w:color="auto" w:sz="6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说明</w:t>
            </w:r>
          </w:p>
        </w:tc>
        <w:tc>
          <w:tcPr>
            <w:tcW w:w="1524" w:type="dxa"/>
            <w:tcBorders>
              <w:top w:val="single" w:color="auto" w:sz="6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寄存器个数</w:t>
            </w:r>
          </w:p>
        </w:tc>
        <w:tc>
          <w:tcPr>
            <w:tcW w:w="1318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访问方式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40001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(0x0000)</w:t>
            </w:r>
          </w:p>
        </w:tc>
        <w:tc>
          <w:tcPr>
            <w:tcW w:w="1591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测量值+温度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+TDS</w:t>
            </w:r>
          </w:p>
        </w:tc>
        <w:tc>
          <w:tcPr>
            <w:tcW w:w="3420" w:type="dxa"/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个双字节整数，分别为测量值、测量值小数位数、温度值、温度值小数位数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、TDS值、TDS值小数位数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。</w:t>
            </w:r>
          </w:p>
        </w:tc>
        <w:tc>
          <w:tcPr>
            <w:tcW w:w="1524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字节）</w:t>
            </w:r>
          </w:p>
        </w:tc>
        <w:tc>
          <w:tcPr>
            <w:tcW w:w="1318" w:type="dxa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44097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(0x1000)</w:t>
            </w:r>
          </w:p>
        </w:tc>
        <w:tc>
          <w:tcPr>
            <w:tcW w:w="1591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零点校准</w:t>
            </w:r>
          </w:p>
        </w:tc>
        <w:tc>
          <w:tcPr>
            <w:tcW w:w="3420" w:type="dxa"/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在空气中校准，写入数据为0。读出数据为零点偏移量。</w:t>
            </w:r>
          </w:p>
        </w:tc>
        <w:tc>
          <w:tcPr>
            <w:tcW w:w="1524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1（2字节）</w:t>
            </w:r>
          </w:p>
        </w:tc>
        <w:tc>
          <w:tcPr>
            <w:tcW w:w="1318" w:type="dxa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写/读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44101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(0x1004)</w:t>
            </w:r>
          </w:p>
        </w:tc>
        <w:tc>
          <w:tcPr>
            <w:tcW w:w="1591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斜率校准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在</w:t>
            </w:r>
            <w:r>
              <w:rPr>
                <w:rFonts w:ascii="Times New Roman" w:hAnsi="Times New Roman" w:eastAsia="宋体" w:cs="Times New Roman"/>
                <w:sz w:val="24"/>
              </w:rPr>
              <w:t>已知的标准溶液（20%满量程—满量程)中校准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，满量程为0～20μS/cm写入数据为标准溶液实际值</w:t>
            </w:r>
            <w:r>
              <w:rPr>
                <w:rFonts w:ascii="Times New Roman" w:hAnsi="Times New Roman" w:eastAsia="宋体" w:cs="Times New Roman"/>
                <w:sz w:val="24"/>
              </w:rPr>
              <w:t>×100；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满量程为0～200μS/cm写入数据为标准溶液实际值</w:t>
            </w:r>
            <w:r>
              <w:rPr>
                <w:rFonts w:ascii="Times New Roman" w:hAnsi="Times New Roman" w:eastAsia="宋体" w:cs="Times New Roman"/>
                <w:sz w:val="24"/>
              </w:rPr>
              <w:t>×10；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满量程为0～5000μS/cm写入数据为标准溶液实际值</w:t>
            </w:r>
            <w:r>
              <w:rPr>
                <w:rFonts w:ascii="Times New Roman" w:hAnsi="Times New Roman" w:eastAsia="宋体" w:cs="Times New Roman"/>
                <w:sz w:val="24"/>
              </w:rPr>
              <w:t>；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满量程为0～200mS/cm写入数据为标准溶液实际值</w:t>
            </w:r>
            <w:r>
              <w:rPr>
                <w:rFonts w:ascii="Times New Roman" w:hAnsi="Times New Roman" w:eastAsia="宋体" w:cs="Times New Roman"/>
                <w:sz w:val="24"/>
              </w:rPr>
              <w:t>×10；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读出数据为斜率值×1000。</w:t>
            </w:r>
          </w:p>
        </w:tc>
        <w:tc>
          <w:tcPr>
            <w:tcW w:w="1524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1（2字节）</w:t>
            </w:r>
          </w:p>
        </w:tc>
        <w:tc>
          <w:tcPr>
            <w:tcW w:w="1318" w:type="dxa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写/读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44113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(0x1010)</w:t>
            </w:r>
          </w:p>
        </w:tc>
        <w:tc>
          <w:tcPr>
            <w:tcW w:w="1591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温度校准</w:t>
            </w:r>
          </w:p>
        </w:tc>
        <w:tc>
          <w:tcPr>
            <w:tcW w:w="3420" w:type="dxa"/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在溶液中校准，写入数据为实际温度值×10；读出数据为温度校准偏移量×10。</w:t>
            </w:r>
          </w:p>
        </w:tc>
        <w:tc>
          <w:tcPr>
            <w:tcW w:w="1524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1（2字节)</w:t>
            </w:r>
          </w:p>
        </w:tc>
        <w:tc>
          <w:tcPr>
            <w:tcW w:w="1318" w:type="dxa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写/读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44115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（0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x1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012）</w:t>
            </w:r>
          </w:p>
        </w:tc>
        <w:tc>
          <w:tcPr>
            <w:tcW w:w="1591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TDS系数</w:t>
            </w:r>
          </w:p>
        </w:tc>
        <w:tc>
          <w:tcPr>
            <w:tcW w:w="3420" w:type="dxa"/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默认0.64，用户根据实际水体情况可修改。</w:t>
            </w:r>
          </w:p>
        </w:tc>
        <w:tc>
          <w:tcPr>
            <w:tcW w:w="1524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1（2字节)</w:t>
            </w:r>
          </w:p>
        </w:tc>
        <w:tc>
          <w:tcPr>
            <w:tcW w:w="1318" w:type="dxa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写/读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48195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(0x2002)</w:t>
            </w:r>
          </w:p>
        </w:tc>
        <w:tc>
          <w:tcPr>
            <w:tcW w:w="1591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传感器地址</w:t>
            </w:r>
          </w:p>
        </w:tc>
        <w:tc>
          <w:tcPr>
            <w:tcW w:w="3420" w:type="dxa"/>
          </w:tcPr>
          <w:p>
            <w:pPr>
              <w:widowControl/>
              <w:spacing w:line="400" w:lineRule="atLeas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yellow"/>
              </w:rPr>
              <w:t>默认为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yellow"/>
                <w:lang w:val="en-US" w:eastAsia="zh-CN"/>
              </w:rPr>
              <w:t>1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yellow"/>
              </w:rPr>
              <w:t>，写入数据范围1-255。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yellow"/>
                <w:lang w:eastAsia="zh-CN"/>
              </w:rPr>
              <w:t>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yellow"/>
              </w:rPr>
              <w:t>200mS/cm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yellow"/>
                <w:lang w:val="en-US" w:eastAsia="zh-CN"/>
              </w:rPr>
              <w:t>地址为2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yellow"/>
                <w:lang w:eastAsia="zh-CN"/>
              </w:rPr>
              <w:t>）</w:t>
            </w:r>
          </w:p>
        </w:tc>
        <w:tc>
          <w:tcPr>
            <w:tcW w:w="1524" w:type="dxa"/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1（2字节）</w:t>
            </w:r>
          </w:p>
        </w:tc>
        <w:tc>
          <w:tcPr>
            <w:tcW w:w="1318" w:type="dxa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写/读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48225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(0x2020)</w:t>
            </w:r>
          </w:p>
        </w:tc>
        <w:tc>
          <w:tcPr>
            <w:tcW w:w="1591" w:type="dxa"/>
            <w:tcBorders>
              <w:bottom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重置传感器</w:t>
            </w:r>
          </w:p>
        </w:tc>
        <w:tc>
          <w:tcPr>
            <w:tcW w:w="3420" w:type="dxa"/>
            <w:tcBorders>
              <w:bottom w:val="single" w:color="auto" w:sz="6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校准值恢复默认值，写入数据为0。注意：传感器重置后需再次校准方可使用。</w:t>
            </w:r>
          </w:p>
        </w:tc>
        <w:tc>
          <w:tcPr>
            <w:tcW w:w="1524" w:type="dxa"/>
            <w:tcBorders>
              <w:bottom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1（2字节）</w:t>
            </w:r>
          </w:p>
        </w:tc>
        <w:tc>
          <w:tcPr>
            <w:tcW w:w="1318" w:type="dxa"/>
            <w:tcBorders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写</w:t>
            </w:r>
          </w:p>
        </w:tc>
      </w:tr>
    </w:tbl>
    <w:p>
      <w:pPr>
        <w:pStyle w:val="23"/>
        <w:suppressAutoHyphens w:val="0"/>
        <w:ind w:left="425" w:firstLine="0"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注意：</w:t>
      </w:r>
    </w:p>
    <w:p>
      <w:pPr>
        <w:pStyle w:val="23"/>
        <w:numPr>
          <w:ilvl w:val="0"/>
          <w:numId w:val="18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寄存器地址为根据Modbus协议定义的带寄存器类型的寄存器起始地址（括号中的16进制表示的实际的寄存器起始地址）。</w:t>
      </w:r>
    </w:p>
    <w:p>
      <w:pPr>
        <w:pStyle w:val="23"/>
        <w:numPr>
          <w:ilvl w:val="0"/>
          <w:numId w:val="18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更改传感器地址时，返回指令中的传感器地址为更改后的新地址。</w:t>
      </w:r>
    </w:p>
    <w:p>
      <w:pPr>
        <w:pStyle w:val="23"/>
        <w:numPr>
          <w:ilvl w:val="0"/>
          <w:numId w:val="18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读取数据时返回测量值的数据定义：</w:t>
      </w:r>
    </w:p>
    <w:p>
      <w:pPr>
        <w:ind w:firstLine="960" w:firstLineChars="4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xx 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>xx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 xml:space="preserve">           xx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>xx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 xml:space="preserve">              xx   xx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 xml:space="preserve">        xx   xx</w:t>
      </w:r>
    </w:p>
    <w:p>
      <w:pPr>
        <w:ind w:firstLine="7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2字节测量值   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 xml:space="preserve"> 2字节测量值小数位数      2字节温度值  </w:t>
      </w:r>
      <w:r>
        <w:rPr>
          <w:rFonts w:ascii="Times New Roman" w:hAnsi="Times New Roman" w:eastAsia="宋体" w:cs="Times New Roman"/>
          <w:sz w:val="24"/>
          <w:szCs w:val="24"/>
        </w:rPr>
        <w:tab/>
      </w:r>
      <w:r>
        <w:rPr>
          <w:rFonts w:ascii="Times New Roman" w:hAnsi="Times New Roman" w:eastAsia="宋体" w:cs="Times New Roman"/>
          <w:sz w:val="24"/>
          <w:szCs w:val="24"/>
        </w:rPr>
        <w:t>2字节温度小数位数</w:t>
      </w:r>
    </w:p>
    <w:p>
      <w:pPr>
        <w:ind w:firstLine="361" w:firstLineChars="150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>数据类型默认为：双字节整型，高字节在前；其他如浮点数类型可选。</w:t>
      </w:r>
    </w:p>
    <w:p>
      <w:pPr>
        <w:pStyle w:val="23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命令示例</w:t>
      </w:r>
    </w:p>
    <w:p>
      <w:pPr>
        <w:pStyle w:val="23"/>
        <w:numPr>
          <w:ilvl w:val="0"/>
          <w:numId w:val="19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测量指令</w:t>
      </w:r>
    </w:p>
    <w:p>
      <w:pPr>
        <w:pStyle w:val="23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作用：获取传感器测量的电导率和温度；温度的单位为摄氏度，电导率的单位为mS/cm(或uS/cm)；</w:t>
      </w:r>
    </w:p>
    <w:p>
      <w:pPr>
        <w:pStyle w:val="23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请求帧：01 03 00 00 00 04 44 09</w:t>
      </w:r>
    </w:p>
    <w:p>
      <w:pPr>
        <w:pStyle w:val="23"/>
        <w:ind w:firstLine="480"/>
        <w:rPr>
          <w:rFonts w:hint="default"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应答帧：01 03 0C 01 02 00 01 00 B0 00 01 00 A5 00 01 35 73</w:t>
      </w:r>
    </w:p>
    <w:p>
      <w:pPr>
        <w:pStyle w:val="23"/>
        <w:ind w:firstLine="480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读数示例：</w:t>
      </w:r>
    </w:p>
    <w:tbl>
      <w:tblPr>
        <w:tblStyle w:val="12"/>
        <w:tblpPr w:leftFromText="180" w:rightFromText="180" w:vertAnchor="text" w:horzAnchor="page" w:tblpX="3300" w:tblpY="195"/>
        <w:tblOverlap w:val="never"/>
        <w:tblW w:w="58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5"/>
        <w:gridCol w:w="1920"/>
        <w:gridCol w:w="1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pStyle w:val="23"/>
              <w:ind w:firstLine="0" w:firstLineChars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电导率值</w:t>
            </w:r>
          </w:p>
        </w:tc>
        <w:tc>
          <w:tcPr>
            <w:tcW w:w="1920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pStyle w:val="23"/>
              <w:ind w:left="-71" w:leftChars="-34" w:firstLine="600" w:firstLineChars="2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温度值</w:t>
            </w:r>
          </w:p>
        </w:tc>
        <w:tc>
          <w:tcPr>
            <w:tcW w:w="1920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pStyle w:val="23"/>
              <w:ind w:left="-71" w:leftChars="-34" w:firstLine="600" w:firstLineChars="250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TDS值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left w:val="single" w:color="auto" w:sz="6" w:space="0"/>
              <w:bottom w:val="single" w:color="auto" w:sz="6" w:space="0"/>
            </w:tcBorders>
          </w:tcPr>
          <w:p>
            <w:pPr>
              <w:pStyle w:val="23"/>
              <w:ind w:left="-71" w:leftChars="-34" w:firstLine="360" w:firstLineChars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01 02 00 01</w:t>
            </w:r>
          </w:p>
        </w:tc>
        <w:tc>
          <w:tcPr>
            <w:tcW w:w="1920" w:type="dxa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pStyle w:val="23"/>
              <w:ind w:left="-71" w:leftChars="-34" w:firstLine="240" w:firstLineChars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 B0 00 01</w:t>
            </w:r>
          </w:p>
        </w:tc>
        <w:tc>
          <w:tcPr>
            <w:tcW w:w="1920" w:type="dxa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pStyle w:val="23"/>
              <w:ind w:left="-71" w:leftChars="-34" w:firstLine="240" w:firstLineChars="100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00 A5 00 00</w:t>
            </w:r>
          </w:p>
        </w:tc>
      </w:tr>
    </w:tbl>
    <w:p>
      <w:pPr>
        <w:pStyle w:val="23"/>
        <w:ind w:firstLine="0" w:firstLineChars="0"/>
        <w:rPr>
          <w:rFonts w:ascii="Times New Roman" w:hAnsi="Times New Roman"/>
          <w:sz w:val="24"/>
        </w:rPr>
      </w:pPr>
    </w:p>
    <w:p>
      <w:pPr>
        <w:pStyle w:val="23"/>
        <w:ind w:firstLine="0" w:firstLineChars="0"/>
        <w:rPr>
          <w:rFonts w:ascii="Times New Roman" w:hAnsi="Times New Roman"/>
          <w:sz w:val="24"/>
        </w:rPr>
      </w:pPr>
    </w:p>
    <w:p>
      <w:pPr>
        <w:pStyle w:val="23"/>
        <w:ind w:firstLine="0" w:firstLineChars="0"/>
        <w:rPr>
          <w:rFonts w:ascii="Times New Roman" w:hAnsi="Times New Roman"/>
          <w:sz w:val="24"/>
        </w:rPr>
      </w:pPr>
    </w:p>
    <w:p>
      <w:pPr>
        <w:pStyle w:val="23"/>
        <w:ind w:firstLine="0" w:firstLineChars="0"/>
        <w:rPr>
          <w:rFonts w:ascii="Times New Roman" w:hAnsi="Times New Roman"/>
          <w:kern w:val="2"/>
          <w:sz w:val="24"/>
        </w:rPr>
      </w:pPr>
    </w:p>
    <w:p>
      <w:pPr>
        <w:pStyle w:val="23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如：电导率值 01 02 表示十六进制读数电导率值，00 01 表示电导率数值带1位小数点(小数点和量程有关），转换成十进制数值为25.8。</w:t>
      </w:r>
    </w:p>
    <w:p>
      <w:pPr>
        <w:pStyle w:val="23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温度值00 B0 表示十六进制读数温度值，00 01表示温度数值带1位小数点，转换成十进制数值为17.6。</w:t>
      </w:r>
    </w:p>
    <w:p>
      <w:pPr>
        <w:pStyle w:val="23"/>
        <w:ind w:firstLine="480"/>
        <w:rPr>
          <w:rFonts w:ascii="Times New Roman" w:hAnsi="Times New Roman"/>
          <w:kern w:val="2"/>
          <w:sz w:val="24"/>
        </w:rPr>
      </w:pPr>
      <w:r>
        <w:rPr>
          <w:rFonts w:hint="eastAsia" w:ascii="Times New Roman" w:hAnsi="Times New Roman"/>
          <w:kern w:val="2"/>
          <w:sz w:val="24"/>
        </w:rPr>
        <w:t>TDS值00 A5表示十六进制读数TDS值，00 00表示温度数值没有小数点，转换成十进制数值为165。</w:t>
      </w:r>
    </w:p>
    <w:p>
      <w:pPr>
        <w:pStyle w:val="23"/>
        <w:numPr>
          <w:ilvl w:val="0"/>
          <w:numId w:val="19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校准指令</w:t>
      </w:r>
    </w:p>
    <w:p>
      <w:pPr>
        <w:pStyle w:val="23"/>
        <w:ind w:firstLine="48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零点校准</w:t>
      </w:r>
    </w:p>
    <w:p>
      <w:pPr>
        <w:pStyle w:val="23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作用：设定传感器的电导率零点校准值；此处零点校准在空气中进行；</w:t>
      </w:r>
    </w:p>
    <w:p>
      <w:pPr>
        <w:pStyle w:val="23"/>
        <w:ind w:firstLine="480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请求帧：01 06 10 00 00 00 8D 0A </w:t>
      </w:r>
    </w:p>
    <w:p>
      <w:pPr>
        <w:pStyle w:val="23"/>
        <w:ind w:firstLine="480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 xml:space="preserve">01 06 10 00 00 00 8D 0A </w:t>
      </w:r>
    </w:p>
    <w:p>
      <w:pPr>
        <w:pStyle w:val="23"/>
        <w:ind w:firstLine="482"/>
        <w:rPr>
          <w:rFonts w:ascii="Times New Roman" w:hAnsi="Times New Roman"/>
          <w:b/>
          <w:kern w:val="2"/>
          <w:sz w:val="24"/>
        </w:rPr>
      </w:pPr>
      <w:r>
        <w:rPr>
          <w:rFonts w:ascii="Times New Roman" w:hAnsi="Times New Roman"/>
          <w:b/>
          <w:kern w:val="2"/>
          <w:sz w:val="24"/>
        </w:rPr>
        <w:t>斜率校准</w:t>
      </w:r>
    </w:p>
    <w:p>
      <w:pPr>
        <w:pStyle w:val="23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作用：设定传感器的电导率斜率校准值；此处斜率值以实际标准溶液数值为准，以50mS/cm为示例参看校准；</w:t>
      </w:r>
    </w:p>
    <w:p>
      <w:pPr>
        <w:pStyle w:val="23"/>
        <w:ind w:firstLine="480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01 06 10 04 01 F4 CC DC</w:t>
      </w:r>
    </w:p>
    <w:p>
      <w:pPr>
        <w:pStyle w:val="23"/>
        <w:ind w:firstLine="480"/>
        <w:rPr>
          <w:rFonts w:hint="default"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01 06 10 04 01 F4 CC DC</w:t>
      </w:r>
    </w:p>
    <w:p>
      <w:pPr>
        <w:pStyle w:val="23"/>
        <w:numPr>
          <w:ilvl w:val="0"/>
          <w:numId w:val="19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设置设备ID地址</w:t>
      </w:r>
    </w:p>
    <w:p>
      <w:pPr>
        <w:pStyle w:val="23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作用：设置传感器的Modbus设备地址；</w:t>
      </w:r>
    </w:p>
    <w:p>
      <w:pPr>
        <w:pStyle w:val="23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将传感器地址</w:t>
      </w:r>
      <w:r>
        <w:rPr>
          <w:rFonts w:ascii="Times New Roman" w:hAnsi="Times New Roman"/>
          <w:kern w:val="2"/>
          <w:sz w:val="24"/>
        </w:rPr>
        <w:t>01</w:t>
      </w:r>
      <w:r>
        <w:rPr>
          <w:rFonts w:ascii="Times New Roman" w:hAnsi="Times New Roman"/>
          <w:sz w:val="24"/>
        </w:rPr>
        <w:t>改为</w:t>
      </w:r>
      <w:r>
        <w:rPr>
          <w:rFonts w:ascii="Times New Roman" w:hAnsi="Times New Roman"/>
          <w:kern w:val="2"/>
          <w:sz w:val="24"/>
        </w:rPr>
        <w:t>06</w:t>
      </w:r>
      <w:r>
        <w:rPr>
          <w:rFonts w:ascii="Times New Roman" w:hAnsi="Times New Roman"/>
          <w:sz w:val="24"/>
        </w:rPr>
        <w:t>，范例如下</w:t>
      </w:r>
    </w:p>
    <w:p>
      <w:pPr>
        <w:pStyle w:val="23"/>
        <w:ind w:firstLine="480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 xml:space="preserve">01 06 20 02 00 06 A3 C8 </w:t>
      </w:r>
    </w:p>
    <w:p>
      <w:pPr>
        <w:pStyle w:val="23"/>
        <w:ind w:firstLine="480"/>
        <w:rPr>
          <w:rFonts w:hint="default"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 xml:space="preserve">01 06 20 02 00 06 A3 C8 </w:t>
      </w:r>
    </w:p>
    <w:p>
      <w:pPr>
        <w:pStyle w:val="23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错误响应</w:t>
      </w:r>
    </w:p>
    <w:p>
      <w:pPr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如果传感器不能正确执行上位机命令，则会返回如下格式信息：</w:t>
      </w:r>
    </w:p>
    <w:tbl>
      <w:tblPr>
        <w:tblStyle w:val="12"/>
        <w:tblW w:w="59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1312"/>
        <w:gridCol w:w="1444"/>
        <w:gridCol w:w="1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定义</w:t>
            </w:r>
          </w:p>
        </w:tc>
        <w:tc>
          <w:tcPr>
            <w:tcW w:w="944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1312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功能码</w:t>
            </w:r>
          </w:p>
        </w:tc>
        <w:tc>
          <w:tcPr>
            <w:tcW w:w="1444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CODE</w:t>
            </w:r>
          </w:p>
        </w:tc>
        <w:tc>
          <w:tcPr>
            <w:tcW w:w="1260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tcBorders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数据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ADDR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COM+80H</w:t>
            </w:r>
          </w:p>
        </w:tc>
        <w:tc>
          <w:tcPr>
            <w:tcW w:w="14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xx</w:t>
            </w:r>
          </w:p>
        </w:tc>
        <w:tc>
          <w:tcPr>
            <w:tcW w:w="1260" w:type="dxa"/>
            <w:tcBorders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CRC 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字节数</w:t>
            </w:r>
          </w:p>
        </w:tc>
        <w:tc>
          <w:tcPr>
            <w:tcW w:w="944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</w:t>
            </w:r>
          </w:p>
        </w:tc>
        <w:tc>
          <w:tcPr>
            <w:tcW w:w="1312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</w:t>
            </w:r>
          </w:p>
        </w:tc>
        <w:tc>
          <w:tcPr>
            <w:tcW w:w="1444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</w:t>
            </w:r>
          </w:p>
        </w:tc>
      </w:tr>
    </w:tbl>
    <w:p>
      <w:pPr>
        <w:pStyle w:val="23"/>
        <w:numPr>
          <w:ilvl w:val="0"/>
          <w:numId w:val="20"/>
        </w:numPr>
        <w:suppressAutoHyphens w:val="0"/>
        <w:spacing w:beforeLines="50"/>
        <w:ind w:left="845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CODE：01 – 功能码错</w:t>
      </w:r>
    </w:p>
    <w:p>
      <w:pPr>
        <w:ind w:firstLine="1725" w:firstLineChars="719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03 – 数据错</w:t>
      </w:r>
    </w:p>
    <w:p>
      <w:pPr>
        <w:pStyle w:val="23"/>
        <w:numPr>
          <w:ilvl w:val="0"/>
          <w:numId w:val="20"/>
        </w:numPr>
        <w:suppressAutoHyphens w:val="0"/>
        <w:spacing w:beforeLines="50"/>
        <w:ind w:left="845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COM：接收到的功能码</w:t>
      </w:r>
    </w:p>
    <w:p>
      <w:pPr>
        <w:ind w:firstLine="425"/>
        <w:rPr>
          <w:rFonts w:ascii="Times New Roman" w:hAnsi="Times New Roman" w:eastAsia="宋体" w:cs="Times New Roman"/>
          <w:bCs/>
          <w:sz w:val="28"/>
          <w:szCs w:val="28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080" w:bottom="1440" w:left="1080" w:header="1134" w:footer="567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Times New Roman" w:hAnsi="Times New Roman" w:cs="Times New Roman"/>
      </w:rPr>
    </w:pPr>
    <w:r>
      <w:rPr>
        <w:rFonts w:hint="eastAsia" w:ascii="Times New Roman" w:hAnsi="Times New Roman" w:eastAsia="宋体" w:cs="Times New Roman"/>
      </w:rPr>
      <w:t xml:space="preserve">凯米斯科技           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10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/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11</w:t>
    </w:r>
    <w:r>
      <w:rPr>
        <w:rFonts w:ascii="Times New Roman" w:hAnsi="Times New Roman" w:cs="Times New Roman"/>
      </w:rPr>
      <w:fldChar w:fldCharType="end"/>
    </w:r>
  </w:p>
  <w:p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5"/>
        <w:rFonts w:ascii="Times New Roman" w:hAnsi="Times New Roman" w:cs="Times New Roman"/>
        <w:sz w:val="18"/>
        <w:szCs w:val="18"/>
      </w:rPr>
      <w:t>www.chemins-tech.com</w:t>
    </w:r>
    <w:r>
      <w:rPr>
        <w:rStyle w:val="15"/>
        <w:rFonts w:ascii="Times New Roman" w:hAnsi="Times New Roman" w:cs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Times New Roman" w:hAnsi="Times New Roman" w:cs="Times New Roman"/>
      </w:rPr>
    </w:pPr>
    <w:r>
      <w:rPr>
        <w:rFonts w:hint="eastAsia" w:ascii="Times New Roman" w:hAnsi="Times New Roman" w:eastAsia="宋体" w:cs="Times New Roman"/>
      </w:rPr>
      <w:t xml:space="preserve">凯米斯科技           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/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</w:rPr>
      <w:t>4</w:t>
    </w:r>
    <w:r>
      <w:rPr>
        <w:rFonts w:ascii="Times New Roman" w:hAnsi="Times New Roman" w:cs="Times New Roman"/>
      </w:rPr>
      <w:fldChar w:fldCharType="end"/>
    </w:r>
  </w:p>
  <w:p>
    <w:pPr>
      <w:rPr>
        <w:rFonts w:ascii="Times New Roman" w:hAnsi="Times New Roman" w:cs="Times New Roman"/>
        <w:sz w:val="18"/>
        <w:szCs w:val="18"/>
      </w:rPr>
    </w:pPr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5"/>
        <w:rFonts w:ascii="Times New Roman" w:hAnsi="Times New Roman" w:cs="Times New Roman"/>
        <w:sz w:val="18"/>
        <w:szCs w:val="18"/>
      </w:rPr>
      <w:t>www.chemins-tech.com</w:t>
    </w:r>
    <w:r>
      <w:rPr>
        <w:rStyle w:val="15"/>
        <w:rFonts w:ascii="Times New Roman" w:hAnsi="Times New Roman" w:cs="Times New Roman"/>
        <w:sz w:val="18"/>
        <w:szCs w:val="18"/>
      </w:rP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-10795</wp:posOffset>
          </wp:positionH>
          <wp:positionV relativeFrom="paragraph">
            <wp:posOffset>-281305</wp:posOffset>
          </wp:positionV>
          <wp:extent cx="1698625" cy="407035"/>
          <wp:effectExtent l="19050" t="0" r="0" b="0"/>
          <wp:wrapNone/>
          <wp:docPr id="9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8754" cy="4069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4118"/>
        <w:tab w:val="clear" w:pos="4153"/>
        <w:tab w:val="clear" w:pos="8306"/>
      </w:tabs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-17145</wp:posOffset>
          </wp:positionH>
          <wp:positionV relativeFrom="paragraph">
            <wp:posOffset>-295910</wp:posOffset>
          </wp:positionV>
          <wp:extent cx="1700530" cy="405130"/>
          <wp:effectExtent l="19050" t="0" r="0" b="0"/>
          <wp:wrapNone/>
          <wp:docPr id="8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3" cy="404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597438"/>
    <w:multiLevelType w:val="multilevel"/>
    <w:tmpl w:val="0459743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 w:cs="Times New Roman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05F2419E"/>
    <w:multiLevelType w:val="multilevel"/>
    <w:tmpl w:val="05F2419E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D7149FF"/>
    <w:multiLevelType w:val="multilevel"/>
    <w:tmpl w:val="0D7149FF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921CE3"/>
    <w:multiLevelType w:val="multilevel"/>
    <w:tmpl w:val="12921CE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12E33825"/>
    <w:multiLevelType w:val="multilevel"/>
    <w:tmpl w:val="12E33825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22664BD8"/>
    <w:multiLevelType w:val="multilevel"/>
    <w:tmpl w:val="22664BD8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27633AA6"/>
    <w:multiLevelType w:val="multilevel"/>
    <w:tmpl w:val="27633AA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32AC31F8"/>
    <w:multiLevelType w:val="multilevel"/>
    <w:tmpl w:val="32AC31F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8">
    <w:nsid w:val="3E41138D"/>
    <w:multiLevelType w:val="multilevel"/>
    <w:tmpl w:val="3E41138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4128642F"/>
    <w:multiLevelType w:val="multilevel"/>
    <w:tmpl w:val="4128642F"/>
    <w:lvl w:ilvl="0" w:tentative="0">
      <w:start w:val="1"/>
      <w:numFmt w:val="lowerLetter"/>
      <w:lvlText w:val="%1)"/>
      <w:lvlJc w:val="left"/>
      <w:pPr>
        <w:ind w:left="845" w:hanging="420"/>
      </w:pPr>
      <w:rPr>
        <w:rFonts w:hint="default" w:cs="Times New Roman" w:asciiTheme="minorEastAsia" w:hAnsiTheme="minorEastAsia" w:eastAsiaTheme="minorEastAsia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0">
    <w:nsid w:val="47BA618B"/>
    <w:multiLevelType w:val="multilevel"/>
    <w:tmpl w:val="47BA618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86E5837"/>
    <w:multiLevelType w:val="multilevel"/>
    <w:tmpl w:val="486E5837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2">
    <w:nsid w:val="55B53A7C"/>
    <w:multiLevelType w:val="multilevel"/>
    <w:tmpl w:val="55B53A7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5764C6A4"/>
    <w:multiLevelType w:val="multilevel"/>
    <w:tmpl w:val="5764C6A4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5840E5C3"/>
    <w:multiLevelType w:val="singleLevel"/>
    <w:tmpl w:val="5840E5C3"/>
    <w:lvl w:ilvl="0" w:tentative="0">
      <w:start w:val="1"/>
      <w:numFmt w:val="lowerLetter"/>
      <w:suff w:val="nothing"/>
      <w:lvlText w:val="%1）"/>
      <w:lvlJc w:val="left"/>
      <w:rPr>
        <w:rFonts w:hint="default" w:ascii="Times New Roman" w:hAnsi="Times New Roman" w:cs="Times New Roman"/>
      </w:rPr>
    </w:lvl>
  </w:abstractNum>
  <w:abstractNum w:abstractNumId="15">
    <w:nsid w:val="62715EF3"/>
    <w:multiLevelType w:val="multilevel"/>
    <w:tmpl w:val="62715EF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 w:cs="Times New Roman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6">
    <w:nsid w:val="7167406C"/>
    <w:multiLevelType w:val="multilevel"/>
    <w:tmpl w:val="7167406C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718B37BE"/>
    <w:multiLevelType w:val="multilevel"/>
    <w:tmpl w:val="718B37BE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E3C15AC"/>
    <w:multiLevelType w:val="multilevel"/>
    <w:tmpl w:val="7E3C15A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9">
    <w:nsid w:val="7E83470B"/>
    <w:multiLevelType w:val="multilevel"/>
    <w:tmpl w:val="7E83470B"/>
    <w:lvl w:ilvl="0" w:tentative="0">
      <w:start w:val="1"/>
      <w:numFmt w:val="decimal"/>
      <w:lvlText w:val="%1."/>
      <w:lvlJc w:val="left"/>
      <w:pPr>
        <w:ind w:left="845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15"/>
  </w:num>
  <w:num w:numId="8">
    <w:abstractNumId w:val="11"/>
  </w:num>
  <w:num w:numId="9">
    <w:abstractNumId w:val="7"/>
  </w:num>
  <w:num w:numId="10">
    <w:abstractNumId w:val="4"/>
  </w:num>
  <w:num w:numId="11">
    <w:abstractNumId w:val="14"/>
  </w:num>
  <w:num w:numId="12">
    <w:abstractNumId w:val="3"/>
  </w:num>
  <w:num w:numId="13">
    <w:abstractNumId w:val="10"/>
  </w:num>
  <w:num w:numId="14">
    <w:abstractNumId w:val="18"/>
  </w:num>
  <w:num w:numId="15">
    <w:abstractNumId w:val="13"/>
  </w:num>
  <w:num w:numId="16">
    <w:abstractNumId w:val="19"/>
  </w:num>
  <w:num w:numId="17">
    <w:abstractNumId w:val="17"/>
  </w:num>
  <w:num w:numId="18">
    <w:abstractNumId w:val="9"/>
  </w:num>
  <w:num w:numId="19">
    <w:abstractNumId w:val="1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TViYTFkZjJhYTBlN2U1NmNhYmEyNGRhYThjZWQ4NjgifQ=="/>
  </w:docVars>
  <w:rsids>
    <w:rsidRoot w:val="005B7FF9"/>
    <w:rsid w:val="00001C04"/>
    <w:rsid w:val="00013B62"/>
    <w:rsid w:val="00022D32"/>
    <w:rsid w:val="00026F92"/>
    <w:rsid w:val="00032841"/>
    <w:rsid w:val="00090D83"/>
    <w:rsid w:val="000953BA"/>
    <w:rsid w:val="00096A01"/>
    <w:rsid w:val="000A3E7F"/>
    <w:rsid w:val="000B0496"/>
    <w:rsid w:val="000B49C1"/>
    <w:rsid w:val="000B4CAF"/>
    <w:rsid w:val="000D6138"/>
    <w:rsid w:val="000E2302"/>
    <w:rsid w:val="000F2F75"/>
    <w:rsid w:val="000F7D2C"/>
    <w:rsid w:val="00134A9E"/>
    <w:rsid w:val="00151BA8"/>
    <w:rsid w:val="001527E3"/>
    <w:rsid w:val="00154F0E"/>
    <w:rsid w:val="0015647B"/>
    <w:rsid w:val="00163D56"/>
    <w:rsid w:val="00163F7F"/>
    <w:rsid w:val="00166161"/>
    <w:rsid w:val="00177B12"/>
    <w:rsid w:val="00194493"/>
    <w:rsid w:val="001A4AB9"/>
    <w:rsid w:val="001A4BFA"/>
    <w:rsid w:val="001B491E"/>
    <w:rsid w:val="001B524B"/>
    <w:rsid w:val="001C223E"/>
    <w:rsid w:val="001C550D"/>
    <w:rsid w:val="001E00B1"/>
    <w:rsid w:val="001F05C0"/>
    <w:rsid w:val="001F0C47"/>
    <w:rsid w:val="001F2912"/>
    <w:rsid w:val="001F74EC"/>
    <w:rsid w:val="002109BD"/>
    <w:rsid w:val="002126D8"/>
    <w:rsid w:val="0021783D"/>
    <w:rsid w:val="00221C8A"/>
    <w:rsid w:val="00222BB7"/>
    <w:rsid w:val="00224CD7"/>
    <w:rsid w:val="00250BA6"/>
    <w:rsid w:val="00251233"/>
    <w:rsid w:val="002519DD"/>
    <w:rsid w:val="002640A1"/>
    <w:rsid w:val="002739BF"/>
    <w:rsid w:val="0028320F"/>
    <w:rsid w:val="00287DFE"/>
    <w:rsid w:val="002912C5"/>
    <w:rsid w:val="002A31E3"/>
    <w:rsid w:val="002B4A5E"/>
    <w:rsid w:val="002C1085"/>
    <w:rsid w:val="002C6147"/>
    <w:rsid w:val="002D12C5"/>
    <w:rsid w:val="002D27FC"/>
    <w:rsid w:val="002D62B2"/>
    <w:rsid w:val="002E3F38"/>
    <w:rsid w:val="00323459"/>
    <w:rsid w:val="00323E6F"/>
    <w:rsid w:val="00354BE2"/>
    <w:rsid w:val="00357735"/>
    <w:rsid w:val="003804A9"/>
    <w:rsid w:val="003A4BB0"/>
    <w:rsid w:val="003A4CEE"/>
    <w:rsid w:val="003B07B9"/>
    <w:rsid w:val="003C4B96"/>
    <w:rsid w:val="003C52BA"/>
    <w:rsid w:val="003D1CF4"/>
    <w:rsid w:val="003D41C2"/>
    <w:rsid w:val="003E30E4"/>
    <w:rsid w:val="003F5280"/>
    <w:rsid w:val="003F61E3"/>
    <w:rsid w:val="004158C8"/>
    <w:rsid w:val="00431AF5"/>
    <w:rsid w:val="00444CCE"/>
    <w:rsid w:val="00456C1A"/>
    <w:rsid w:val="0046005D"/>
    <w:rsid w:val="00460ECA"/>
    <w:rsid w:val="00462760"/>
    <w:rsid w:val="00465250"/>
    <w:rsid w:val="00466AAF"/>
    <w:rsid w:val="00467500"/>
    <w:rsid w:val="00471E51"/>
    <w:rsid w:val="00480A31"/>
    <w:rsid w:val="00480AB6"/>
    <w:rsid w:val="00480FF7"/>
    <w:rsid w:val="004819B1"/>
    <w:rsid w:val="0049231C"/>
    <w:rsid w:val="0049372B"/>
    <w:rsid w:val="00495F7C"/>
    <w:rsid w:val="004B7EB4"/>
    <w:rsid w:val="004C0F8D"/>
    <w:rsid w:val="004C1D62"/>
    <w:rsid w:val="004E2055"/>
    <w:rsid w:val="004E2B7F"/>
    <w:rsid w:val="004E3244"/>
    <w:rsid w:val="004E3AE1"/>
    <w:rsid w:val="004F0AC1"/>
    <w:rsid w:val="00503C0F"/>
    <w:rsid w:val="00505683"/>
    <w:rsid w:val="005073E6"/>
    <w:rsid w:val="00516A4A"/>
    <w:rsid w:val="00517CAB"/>
    <w:rsid w:val="0052181F"/>
    <w:rsid w:val="00534344"/>
    <w:rsid w:val="0053629E"/>
    <w:rsid w:val="00540185"/>
    <w:rsid w:val="005739DB"/>
    <w:rsid w:val="00575A68"/>
    <w:rsid w:val="00583179"/>
    <w:rsid w:val="00584D69"/>
    <w:rsid w:val="00585F0D"/>
    <w:rsid w:val="0058783E"/>
    <w:rsid w:val="005932E8"/>
    <w:rsid w:val="005A603D"/>
    <w:rsid w:val="005A62A5"/>
    <w:rsid w:val="005B7247"/>
    <w:rsid w:val="005B7FF9"/>
    <w:rsid w:val="005D2AFF"/>
    <w:rsid w:val="005F490C"/>
    <w:rsid w:val="00604479"/>
    <w:rsid w:val="00607B28"/>
    <w:rsid w:val="00622FDA"/>
    <w:rsid w:val="00623090"/>
    <w:rsid w:val="0062335E"/>
    <w:rsid w:val="00623C59"/>
    <w:rsid w:val="00624DD0"/>
    <w:rsid w:val="00656D0A"/>
    <w:rsid w:val="00665B6D"/>
    <w:rsid w:val="006663C7"/>
    <w:rsid w:val="00667988"/>
    <w:rsid w:val="00670FE4"/>
    <w:rsid w:val="00672D0C"/>
    <w:rsid w:val="0068395F"/>
    <w:rsid w:val="006949F1"/>
    <w:rsid w:val="00695461"/>
    <w:rsid w:val="006963CB"/>
    <w:rsid w:val="00697D2A"/>
    <w:rsid w:val="006A0FED"/>
    <w:rsid w:val="006B687A"/>
    <w:rsid w:val="006C5B28"/>
    <w:rsid w:val="006C6D76"/>
    <w:rsid w:val="006E49E5"/>
    <w:rsid w:val="006F15B9"/>
    <w:rsid w:val="006F1E16"/>
    <w:rsid w:val="00703509"/>
    <w:rsid w:val="00712FD2"/>
    <w:rsid w:val="007170F8"/>
    <w:rsid w:val="0073361D"/>
    <w:rsid w:val="00744362"/>
    <w:rsid w:val="00745699"/>
    <w:rsid w:val="00745FFB"/>
    <w:rsid w:val="00746C4A"/>
    <w:rsid w:val="007510F4"/>
    <w:rsid w:val="00754E27"/>
    <w:rsid w:val="007714A3"/>
    <w:rsid w:val="0078621E"/>
    <w:rsid w:val="007A052F"/>
    <w:rsid w:val="007B0EF9"/>
    <w:rsid w:val="007C1E86"/>
    <w:rsid w:val="007D0D9F"/>
    <w:rsid w:val="007E2699"/>
    <w:rsid w:val="007E66D4"/>
    <w:rsid w:val="00800699"/>
    <w:rsid w:val="00803E65"/>
    <w:rsid w:val="00804499"/>
    <w:rsid w:val="00813E53"/>
    <w:rsid w:val="0081507D"/>
    <w:rsid w:val="00823F95"/>
    <w:rsid w:val="00824FCF"/>
    <w:rsid w:val="008258D9"/>
    <w:rsid w:val="00832D3E"/>
    <w:rsid w:val="00835E0A"/>
    <w:rsid w:val="00844A8E"/>
    <w:rsid w:val="00855B77"/>
    <w:rsid w:val="00872F4B"/>
    <w:rsid w:val="00881382"/>
    <w:rsid w:val="00887609"/>
    <w:rsid w:val="0089016D"/>
    <w:rsid w:val="008A1A2A"/>
    <w:rsid w:val="008A6B99"/>
    <w:rsid w:val="008A6ED8"/>
    <w:rsid w:val="008E5ADD"/>
    <w:rsid w:val="008E6564"/>
    <w:rsid w:val="009004FF"/>
    <w:rsid w:val="00902C31"/>
    <w:rsid w:val="009041C0"/>
    <w:rsid w:val="00905552"/>
    <w:rsid w:val="00905874"/>
    <w:rsid w:val="00905C67"/>
    <w:rsid w:val="00906777"/>
    <w:rsid w:val="0091109C"/>
    <w:rsid w:val="00914519"/>
    <w:rsid w:val="00915C93"/>
    <w:rsid w:val="0091698C"/>
    <w:rsid w:val="009208B3"/>
    <w:rsid w:val="00936EE0"/>
    <w:rsid w:val="00942E11"/>
    <w:rsid w:val="0095662F"/>
    <w:rsid w:val="00957A4F"/>
    <w:rsid w:val="0096215C"/>
    <w:rsid w:val="0097302F"/>
    <w:rsid w:val="009802DF"/>
    <w:rsid w:val="00992D94"/>
    <w:rsid w:val="0099681C"/>
    <w:rsid w:val="009977E7"/>
    <w:rsid w:val="009A3381"/>
    <w:rsid w:val="009C2E57"/>
    <w:rsid w:val="009D3C5C"/>
    <w:rsid w:val="009E5ECA"/>
    <w:rsid w:val="009E6F1B"/>
    <w:rsid w:val="009F182A"/>
    <w:rsid w:val="00A07B19"/>
    <w:rsid w:val="00A121EB"/>
    <w:rsid w:val="00A13BD1"/>
    <w:rsid w:val="00A27E62"/>
    <w:rsid w:val="00A815C6"/>
    <w:rsid w:val="00A87D84"/>
    <w:rsid w:val="00AA1C98"/>
    <w:rsid w:val="00AA6810"/>
    <w:rsid w:val="00AB3BED"/>
    <w:rsid w:val="00AC2CD6"/>
    <w:rsid w:val="00AC3F7F"/>
    <w:rsid w:val="00AD5BE6"/>
    <w:rsid w:val="00AD5E5F"/>
    <w:rsid w:val="00AF08DD"/>
    <w:rsid w:val="00AF1C59"/>
    <w:rsid w:val="00AF46CB"/>
    <w:rsid w:val="00B04CAF"/>
    <w:rsid w:val="00B053CC"/>
    <w:rsid w:val="00B07F47"/>
    <w:rsid w:val="00B07FC9"/>
    <w:rsid w:val="00B11F7B"/>
    <w:rsid w:val="00B14CEE"/>
    <w:rsid w:val="00B20A1D"/>
    <w:rsid w:val="00B3533A"/>
    <w:rsid w:val="00B3785E"/>
    <w:rsid w:val="00B64029"/>
    <w:rsid w:val="00B66136"/>
    <w:rsid w:val="00B66656"/>
    <w:rsid w:val="00B743FD"/>
    <w:rsid w:val="00B828AB"/>
    <w:rsid w:val="00B842A5"/>
    <w:rsid w:val="00B86DFE"/>
    <w:rsid w:val="00B961E8"/>
    <w:rsid w:val="00B97269"/>
    <w:rsid w:val="00BA5169"/>
    <w:rsid w:val="00BB4411"/>
    <w:rsid w:val="00BB7DB7"/>
    <w:rsid w:val="00BF1585"/>
    <w:rsid w:val="00BF42DD"/>
    <w:rsid w:val="00C1666B"/>
    <w:rsid w:val="00C37C8A"/>
    <w:rsid w:val="00C45618"/>
    <w:rsid w:val="00C45DE9"/>
    <w:rsid w:val="00C51BE4"/>
    <w:rsid w:val="00C568C8"/>
    <w:rsid w:val="00C625C2"/>
    <w:rsid w:val="00C64709"/>
    <w:rsid w:val="00C656FE"/>
    <w:rsid w:val="00C70A35"/>
    <w:rsid w:val="00C87409"/>
    <w:rsid w:val="00C94B1F"/>
    <w:rsid w:val="00C95018"/>
    <w:rsid w:val="00CA2EF4"/>
    <w:rsid w:val="00CA3FD2"/>
    <w:rsid w:val="00CB09E9"/>
    <w:rsid w:val="00CC1162"/>
    <w:rsid w:val="00CC11F5"/>
    <w:rsid w:val="00CD4160"/>
    <w:rsid w:val="00CE00C4"/>
    <w:rsid w:val="00CE4604"/>
    <w:rsid w:val="00D0454B"/>
    <w:rsid w:val="00D10589"/>
    <w:rsid w:val="00D1392F"/>
    <w:rsid w:val="00D30D83"/>
    <w:rsid w:val="00D30DC0"/>
    <w:rsid w:val="00D406A2"/>
    <w:rsid w:val="00D41AB2"/>
    <w:rsid w:val="00D47422"/>
    <w:rsid w:val="00D62982"/>
    <w:rsid w:val="00D64AC9"/>
    <w:rsid w:val="00D77412"/>
    <w:rsid w:val="00D81D5A"/>
    <w:rsid w:val="00D94AE2"/>
    <w:rsid w:val="00DA1C73"/>
    <w:rsid w:val="00DA68B8"/>
    <w:rsid w:val="00DB188C"/>
    <w:rsid w:val="00DB49E5"/>
    <w:rsid w:val="00DB7854"/>
    <w:rsid w:val="00DC2991"/>
    <w:rsid w:val="00DD102C"/>
    <w:rsid w:val="00DD300A"/>
    <w:rsid w:val="00DE0FEA"/>
    <w:rsid w:val="00DE14C2"/>
    <w:rsid w:val="00DE79C9"/>
    <w:rsid w:val="00DF0D6F"/>
    <w:rsid w:val="00DF6912"/>
    <w:rsid w:val="00E115B6"/>
    <w:rsid w:val="00E1443D"/>
    <w:rsid w:val="00E21359"/>
    <w:rsid w:val="00E51204"/>
    <w:rsid w:val="00E561BA"/>
    <w:rsid w:val="00E63C6F"/>
    <w:rsid w:val="00E65270"/>
    <w:rsid w:val="00E828C9"/>
    <w:rsid w:val="00E842F3"/>
    <w:rsid w:val="00E879AA"/>
    <w:rsid w:val="00E96542"/>
    <w:rsid w:val="00EA4533"/>
    <w:rsid w:val="00EA5843"/>
    <w:rsid w:val="00EA6F77"/>
    <w:rsid w:val="00EA70D2"/>
    <w:rsid w:val="00EC1923"/>
    <w:rsid w:val="00ED6EC0"/>
    <w:rsid w:val="00EE039D"/>
    <w:rsid w:val="00EE4477"/>
    <w:rsid w:val="00EE5C42"/>
    <w:rsid w:val="00EF3B6A"/>
    <w:rsid w:val="00EF580E"/>
    <w:rsid w:val="00F066BA"/>
    <w:rsid w:val="00F12666"/>
    <w:rsid w:val="00F1559A"/>
    <w:rsid w:val="00F20104"/>
    <w:rsid w:val="00F26D25"/>
    <w:rsid w:val="00F368DC"/>
    <w:rsid w:val="00F45D1F"/>
    <w:rsid w:val="00F507C7"/>
    <w:rsid w:val="00F64C54"/>
    <w:rsid w:val="00F74A47"/>
    <w:rsid w:val="00F843DF"/>
    <w:rsid w:val="00F87570"/>
    <w:rsid w:val="00F91D0A"/>
    <w:rsid w:val="00F97CAB"/>
    <w:rsid w:val="00FA5AA4"/>
    <w:rsid w:val="00FA7256"/>
    <w:rsid w:val="00FB33D7"/>
    <w:rsid w:val="00FB6F56"/>
    <w:rsid w:val="00FC712C"/>
    <w:rsid w:val="00FD1E18"/>
    <w:rsid w:val="00FD2E49"/>
    <w:rsid w:val="00FE2691"/>
    <w:rsid w:val="00FF104D"/>
    <w:rsid w:val="00FF38BF"/>
    <w:rsid w:val="00FF4372"/>
    <w:rsid w:val="02D0747F"/>
    <w:rsid w:val="07824687"/>
    <w:rsid w:val="07EC5A78"/>
    <w:rsid w:val="096518FC"/>
    <w:rsid w:val="0D7E054F"/>
    <w:rsid w:val="0E2079F0"/>
    <w:rsid w:val="12DF77B1"/>
    <w:rsid w:val="162F77C5"/>
    <w:rsid w:val="17B651D9"/>
    <w:rsid w:val="1B133660"/>
    <w:rsid w:val="1E232BB5"/>
    <w:rsid w:val="1F0C14DF"/>
    <w:rsid w:val="237320C1"/>
    <w:rsid w:val="2C253377"/>
    <w:rsid w:val="2CD42869"/>
    <w:rsid w:val="36B16AEA"/>
    <w:rsid w:val="38DD3516"/>
    <w:rsid w:val="38EC7E36"/>
    <w:rsid w:val="43126AB2"/>
    <w:rsid w:val="502139B0"/>
    <w:rsid w:val="52D04647"/>
    <w:rsid w:val="549968D1"/>
    <w:rsid w:val="56136E44"/>
    <w:rsid w:val="5C290E1E"/>
    <w:rsid w:val="5C9163B9"/>
    <w:rsid w:val="5ED13F2C"/>
    <w:rsid w:val="623021E6"/>
    <w:rsid w:val="62D404DA"/>
    <w:rsid w:val="63D0317A"/>
    <w:rsid w:val="67DB1563"/>
    <w:rsid w:val="6E0F4DA5"/>
    <w:rsid w:val="74F8680B"/>
    <w:rsid w:val="78250850"/>
    <w:rsid w:val="78272164"/>
    <w:rsid w:val="78E315A2"/>
    <w:rsid w:val="7B9A0DD1"/>
    <w:rsid w:val="A2FF5513"/>
    <w:rsid w:val="BEDFE374"/>
    <w:rsid w:val="CEDFCD3E"/>
    <w:rsid w:val="D59750AF"/>
    <w:rsid w:val="EA93F9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autoRedefine/>
    <w:semiHidden/>
    <w:qFormat/>
    <w:uiPriority w:val="0"/>
    <w:pPr>
      <w:suppressAutoHyphens/>
      <w:spacing w:after="120"/>
      <w:jc w:val="left"/>
    </w:pPr>
    <w:rPr>
      <w:rFonts w:ascii="Times" w:hAnsi="Times" w:eastAsia="宋体" w:cs="Times New Roman"/>
      <w:kern w:val="1"/>
      <w:sz w:val="28"/>
      <w:szCs w:val="24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8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</w:style>
  <w:style w:type="paragraph" w:styleId="11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3">
    <w:name w:val="Table Grid"/>
    <w:basedOn w:val="1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6">
    <w:name w:val="页眉 Char"/>
    <w:basedOn w:val="14"/>
    <w:link w:val="9"/>
    <w:autoRedefine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批注框文本 Char"/>
    <w:basedOn w:val="14"/>
    <w:link w:val="7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4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Char"/>
    <w:basedOn w:val="14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4"/>
    <w:link w:val="4"/>
    <w:autoRedefine/>
    <w:qFormat/>
    <w:uiPriority w:val="9"/>
    <w:rPr>
      <w:b/>
      <w:bCs/>
      <w:sz w:val="32"/>
      <w:szCs w:val="32"/>
    </w:rPr>
  </w:style>
  <w:style w:type="character" w:customStyle="1" w:styleId="22">
    <w:name w:val="正文文本 Char"/>
    <w:basedOn w:val="14"/>
    <w:link w:val="5"/>
    <w:autoRedefine/>
    <w:semiHidden/>
    <w:qFormat/>
    <w:uiPriority w:val="0"/>
    <w:rPr>
      <w:rFonts w:ascii="Times" w:hAnsi="Times" w:eastAsia="宋体" w:cs="Times New Roman"/>
      <w:kern w:val="1"/>
      <w:sz w:val="28"/>
      <w:szCs w:val="24"/>
    </w:rPr>
  </w:style>
  <w:style w:type="paragraph" w:customStyle="1" w:styleId="23">
    <w:name w:val="列出段落1"/>
    <w:basedOn w:val="1"/>
    <w:autoRedefine/>
    <w:qFormat/>
    <w:uiPriority w:val="34"/>
    <w:pPr>
      <w:suppressAutoHyphens/>
      <w:ind w:firstLine="420" w:firstLineChars="200"/>
      <w:jc w:val="left"/>
    </w:pPr>
    <w:rPr>
      <w:rFonts w:ascii="Times" w:hAnsi="Times" w:eastAsia="宋体" w:cs="Times New Roman"/>
      <w:kern w:val="1"/>
      <w:sz w:val="28"/>
      <w:szCs w:val="24"/>
    </w:rPr>
  </w:style>
  <w:style w:type="character" w:customStyle="1" w:styleId="24">
    <w:name w:val="apple-converted-space"/>
    <w:autoRedefine/>
    <w:qFormat/>
    <w:uiPriority w:val="0"/>
  </w:style>
  <w:style w:type="paragraph" w:customStyle="1" w:styleId="25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paragraph" w:customStyle="1" w:styleId="2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7">
    <w:name w:val="列出段落2"/>
    <w:basedOn w:val="1"/>
    <w:autoRedefine/>
    <w:unhideWhenUsed/>
    <w:qFormat/>
    <w:uiPriority w:val="99"/>
    <w:pPr>
      <w:ind w:firstLine="420" w:firstLineChars="200"/>
    </w:pPr>
  </w:style>
  <w:style w:type="paragraph" w:customStyle="1" w:styleId="28">
    <w:name w:val="Table Paragraph"/>
    <w:basedOn w:val="1"/>
    <w:autoRedefine/>
    <w:qFormat/>
    <w:uiPriority w:val="1"/>
  </w:style>
  <w:style w:type="paragraph" w:customStyle="1" w:styleId="29">
    <w:name w:val="列出段落3"/>
    <w:basedOn w:val="1"/>
    <w:autoRedefine/>
    <w:unhideWhenUsed/>
    <w:qFormat/>
    <w:uiPriority w:val="99"/>
    <w:pPr>
      <w:ind w:firstLine="420" w:firstLineChars="200"/>
    </w:pPr>
  </w:style>
  <w:style w:type="paragraph" w:customStyle="1" w:styleId="30">
    <w:name w:val="列出段落4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2FA4116-39ED-4E24-BBB5-32B1397A19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11</Pages>
  <Words>820</Words>
  <Characters>4675</Characters>
  <Lines>38</Lines>
  <Paragraphs>10</Paragraphs>
  <TotalTime>1</TotalTime>
  <ScaleCrop>false</ScaleCrop>
  <LinksUpToDate>false</LinksUpToDate>
  <CharactersWithSpaces>5485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2015-10-01T10:32:00Z</dcterms:created>
  <dc:creator>Chemins</dc:creator>
  <cp:lastModifiedBy>停在空中的跳投</cp:lastModifiedBy>
  <cp:lastPrinted>2019-05-21T11:29:00Z</cp:lastPrinted>
  <dcterms:modified xsi:type="dcterms:W3CDTF">2024-01-02T08:14:59Z</dcterms:modified>
  <dc:title>DDM-200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7F961589591E490989FACA271014BA91</vt:lpwstr>
  </property>
</Properties>
</file>