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95" w:lineRule="exac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iZS-306在线浊度传感器</w:t>
      </w:r>
    </w:p>
    <w:p>
      <w:pPr>
        <w:spacing w:line="695" w:lineRule="exac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用户手册</w:t>
      </w:r>
    </w:p>
    <w:p>
      <w:pPr>
        <w:spacing w:line="695" w:lineRule="exact"/>
        <w:jc w:val="center"/>
        <w:rPr>
          <w:rFonts w:ascii="Times New Roman" w:hAnsi="Times New Roman"/>
          <w:b/>
          <w:sz w:val="56"/>
          <w:szCs w:val="56"/>
        </w:rPr>
      </w:pPr>
    </w:p>
    <w:p>
      <w:pPr>
        <w:pStyle w:val="24"/>
        <w:spacing w:line="20" w:lineRule="atLeast"/>
        <w:ind w:left="73" w:leftChars="35" w:right="278" w:firstLine="170" w:firstLineChars="71"/>
        <w:jc w:val="center"/>
      </w:pPr>
      <w:r>
        <w:drawing>
          <wp:inline distT="0" distB="0" distL="114300" distR="114300">
            <wp:extent cx="765810" cy="4459605"/>
            <wp:effectExtent l="0" t="0" r="11430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spacing w:line="20" w:lineRule="atLeast"/>
        <w:ind w:right="278"/>
        <w:jc w:val="both"/>
      </w:pP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4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4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 HYPERLINK "mailto:service@chemins-tech.com" 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 HYPERLINK "http://www.chemins-tech.com" 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rPr>
          <w:sz w:val="28"/>
          <w:szCs w:val="28"/>
        </w:rPr>
        <w:fldChar w:fldCharType="end"/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5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3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/>
        </w:rPr>
      </w:pP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/>
          <w:color w:val="000000"/>
          <w:kern w:val="0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>当仪器发生故障，请勿自行修理，请直接联系生产厂家的售后部门。</w:t>
      </w:r>
    </w:p>
    <w:p>
      <w:pPr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>
      <w:pPr>
        <w:pStyle w:val="31"/>
        <w:jc w:val="center"/>
        <w:rPr>
          <w:rFonts w:ascii="Times New Roman" w:hAnsi="Times New Roman"/>
          <w:sz w:val="44"/>
          <w:szCs w:val="44"/>
          <w:lang w:val="zh-CN"/>
        </w:rPr>
      </w:pPr>
      <w:r>
        <w:rPr>
          <w:rFonts w:ascii="Times New Roman" w:hAnsi="Times New Roman"/>
          <w:color w:val="auto"/>
          <w:sz w:val="44"/>
          <w:szCs w:val="44"/>
          <w:lang w:val="zh-CN"/>
        </w:rPr>
        <w:t>目录</w:t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fldChar w:fldCharType="begin"/>
      </w:r>
      <w:r>
        <w:rPr>
          <w:rFonts w:ascii="Times New Roman" w:hAnsi="Times New Roman"/>
          <w:sz w:val="32"/>
          <w:szCs w:val="32"/>
        </w:rPr>
        <w:instrText xml:space="preserve"> TOC \o "1-3" \h \z \u </w:instrText>
      </w:r>
      <w:r>
        <w:rPr>
          <w:rFonts w:ascii="Times New Roman" w:hAnsi="Times New Roman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"_Toc12999590"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一、 工作原理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二、 技术性能和规格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技术参数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尺寸图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三、 安装和电气连接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安装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"_Toc12999596"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电气连接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_Toc12999596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"_Toc12999597"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四、 维护和保养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_Toc12999597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"_Toc12999598"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维护程序和方法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_Toc12999598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"_Toc12999599"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传感器的校准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_Toc12999599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"_Toc12999600"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常见问题解答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_Toc12999600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"_Toc12999601"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五、 质量和服务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_Toc12999601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"_Toc12999602"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质量保证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_Toc12999602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"_Toc12999603"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配件和备件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_Toc12999603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6"/>
        <w:tabs>
          <w:tab w:val="left" w:pos="1470"/>
          <w:tab w:val="right" w:leader="dot" w:pos="9736"/>
        </w:tabs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"_Toc12999604"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5"/>
          <w:rFonts w:ascii="Times New Roman" w:hAnsi="Times New Roman"/>
          <w:sz w:val="28"/>
          <w:szCs w:val="28"/>
        </w:rPr>
        <w:t>售后服务承诺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_Toc12999604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9736"/>
        </w:tabs>
        <w:rPr>
          <w:rFonts w:ascii="Times New Roman" w:hAnsi="Times New Roman"/>
        </w:rPr>
      </w:pPr>
      <w:r>
        <w:fldChar w:fldCharType="begin"/>
      </w:r>
      <w:r>
        <w:instrText xml:space="preserve"> HYPERLINK \l "_Toc12999605" </w:instrText>
      </w:r>
      <w:r>
        <w:fldChar w:fldCharType="separate"/>
      </w:r>
      <w:r>
        <w:rPr>
          <w:rStyle w:val="15"/>
          <w:rFonts w:ascii="Times New Roman" w:hAnsi="Times New Roman"/>
          <w:sz w:val="28"/>
          <w:szCs w:val="28"/>
        </w:rPr>
        <w:t>附录 数据通讯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_Toc12999605 \h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fldChar w:fldCharType="end"/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 w:val="32"/>
          <w:szCs w:val="32"/>
        </w:rPr>
        <w:fldChar w:fldCharType="end"/>
      </w:r>
      <w:bookmarkStart w:id="0" w:name="OLE_LINK3"/>
    </w:p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rPr>
          <w:rFonts w:ascii="Times New Roman" w:hAnsi="Times New Roman"/>
        </w:rPr>
      </w:pPr>
      <w:bookmarkStart w:id="1" w:name="_Toc12999590"/>
      <w:r>
        <w:rPr>
          <w:rFonts w:ascii="Times New Roman" w:hAnsi="Times New Roman"/>
        </w:rPr>
        <w:t>工作原理</w:t>
      </w:r>
      <w:bookmarkEnd w:id="1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-306一体式在线浊度传感器采用散射光式浊度测量法原理设计制作而成。当一束光束射入水样时，由于水样中浊度物质使光产生散射，通过测量与入射光垂直方向的散射光强度，并与内部标定值比对，从而计算出水样中的浊度，经过线性化处理输出最终值。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90°角散射光原理，内置温度传感器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支持RS-485，</w:t>
      </w:r>
      <w:r>
        <w:rPr>
          <w:rFonts w:ascii="Times New Roman" w:hAnsi="Times New Roman"/>
          <w:color w:val="000000"/>
          <w:sz w:val="24"/>
          <w:szCs w:val="24"/>
        </w:rPr>
        <w:t>Modbus/RTU</w:t>
      </w:r>
      <w:r>
        <w:rPr>
          <w:rFonts w:ascii="Times New Roman" w:hAnsi="Times New Roman"/>
          <w:sz w:val="24"/>
          <w:szCs w:val="24"/>
        </w:rPr>
        <w:t>协议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纯</w:t>
      </w:r>
      <w:r>
        <w:rPr>
          <w:rFonts w:ascii="Times New Roman" w:hAnsi="Times New Roman"/>
          <w:sz w:val="24"/>
          <w:szCs w:val="24"/>
        </w:rPr>
        <w:t>石英光路，抗外界光干扰能力强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红外LED光源，稳定性高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IP68防护，水深20米内</w:t>
      </w:r>
    </w:p>
    <w:p>
      <w:pPr>
        <w:numPr>
          <w:ilvl w:val="0"/>
          <w:numId w:val="3"/>
        </w:numPr>
        <w:ind w:left="420" w:left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方便、快速、稳定、易维护</w:t>
      </w:r>
    </w:p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2" w:name="_Toc12999591"/>
      <w:bookmarkStart w:id="3" w:name="_Toc494117810"/>
      <w:bookmarkStart w:id="4" w:name="_Toc427659756"/>
      <w:bookmarkStart w:id="5" w:name="_Toc423526155"/>
      <w:r>
        <w:rPr>
          <w:rFonts w:ascii="Times New Roman" w:hAnsi="Times New Roman"/>
        </w:rPr>
        <w:t>技术性能和规格</w:t>
      </w:r>
      <w:bookmarkEnd w:id="2"/>
      <w:bookmarkEnd w:id="3"/>
      <w:bookmarkEnd w:id="4"/>
      <w:bookmarkEnd w:id="5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1"/>
        <w:jc w:val="left"/>
        <w:rPr>
          <w:sz w:val="28"/>
          <w:szCs w:val="28"/>
        </w:rPr>
      </w:pPr>
      <w:bookmarkStart w:id="6" w:name="_Toc12999592"/>
      <w:bookmarkStart w:id="7" w:name="OLE_LINK6"/>
      <w:r>
        <w:rPr>
          <w:sz w:val="28"/>
          <w:szCs w:val="28"/>
        </w:rPr>
        <w:t>技术参数</w:t>
      </w:r>
      <w:bookmarkEnd w:id="6"/>
    </w:p>
    <w:tbl>
      <w:tblPr>
        <w:tblStyle w:val="13"/>
        <w:tblW w:w="7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576"/>
        <w:gridCol w:w="2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5152" w:type="dxa"/>
            <w:gridSpan w:val="2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iZS-306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测量原理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散射光法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57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0～1000NTU</w:t>
            </w:r>
          </w:p>
        </w:tc>
        <w:tc>
          <w:tcPr>
            <w:tcW w:w="257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0.1NTU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精度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±3%或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≦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±3NTU, 以大者为准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±0.</w:t>
            </w: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响应时间（T90）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＜30s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最低检出限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0.01（0-20NTU）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0.3NTU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校准方式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两点校准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清洁方式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温度补偿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输出方式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RS-485(Modbus/RTU)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存储温度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-5～65℃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工作条件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0～50℃，&lt;0.2MPa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外壳材质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POM、316L不锈钢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安装方式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投</w:t>
            </w:r>
            <w:r>
              <w:rPr>
                <w:rFonts w:ascii="Times New Roman" w:hAnsi="Times New Roman"/>
                <w:sz w:val="24"/>
                <w:szCs w:val="24"/>
              </w:rPr>
              <w:t>入式安装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功耗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0.1W@12V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供电</w:t>
            </w:r>
          </w:p>
        </w:tc>
        <w:tc>
          <w:tcPr>
            <w:tcW w:w="5152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12～24VDC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70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防护等级</w:t>
            </w:r>
          </w:p>
        </w:tc>
        <w:tc>
          <w:tcPr>
            <w:tcW w:w="5152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IP68</w:t>
            </w:r>
          </w:p>
        </w:tc>
      </w:tr>
      <w:bookmarkEnd w:id="0"/>
      <w:bookmarkEnd w:id="7"/>
    </w:tbl>
    <w:p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bookmarkStart w:id="8" w:name="_Toc453839754"/>
      <w:bookmarkStart w:id="9" w:name="_Toc451428271"/>
    </w:p>
    <w:p>
      <w:pPr>
        <w:pStyle w:val="4"/>
        <w:numPr>
          <w:ilvl w:val="0"/>
          <w:numId w:val="4"/>
        </w:numPr>
        <w:spacing w:beforeLines="50" w:afterLines="50" w:line="240" w:lineRule="auto"/>
        <w:jc w:val="left"/>
        <w:rPr>
          <w:sz w:val="28"/>
          <w:szCs w:val="28"/>
        </w:rPr>
      </w:pPr>
      <w:bookmarkStart w:id="10" w:name="_Toc12999593"/>
      <w:r>
        <w:rPr>
          <w:sz w:val="28"/>
          <w:szCs w:val="28"/>
        </w:rPr>
        <w:t>尺寸图</w:t>
      </w:r>
      <w:bookmarkEnd w:id="10"/>
    </w:p>
    <w:p>
      <w:pPr>
        <w:rPr>
          <w:rFonts w:ascii="Times New Roman" w:hAnsi="Times New Roman"/>
        </w:rPr>
      </w:pPr>
      <w:r>
        <w:drawing>
          <wp:inline distT="0" distB="0" distL="0" distR="0">
            <wp:extent cx="6188710" cy="22777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11" w:name="_Toc494117813"/>
      <w:bookmarkStart w:id="12" w:name="_Toc12999594"/>
      <w:r>
        <w:rPr>
          <w:rFonts w:ascii="Times New Roman" w:hAnsi="Times New Roman"/>
        </w:rPr>
        <w:t>安装和电气连接</w:t>
      </w:r>
      <w:bookmarkEnd w:id="11"/>
      <w:bookmarkEnd w:id="12"/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3" w:name="_Toc494101341"/>
      <w:bookmarkStart w:id="14" w:name="_Toc495562272"/>
      <w:bookmarkStart w:id="15" w:name="_Toc12999595"/>
      <w:r>
        <w:rPr>
          <w:rFonts w:ascii="Times New Roman" w:hAnsi="Times New Roman"/>
          <w:sz w:val="28"/>
          <w:szCs w:val="28"/>
        </w:rPr>
        <w:t>安装</w:t>
      </w:r>
      <w:bookmarkEnd w:id="13"/>
      <w:bookmarkEnd w:id="14"/>
      <w:bookmarkEnd w:id="15"/>
    </w:p>
    <w:p>
      <w:pPr>
        <w:pStyle w:val="24"/>
        <w:ind w:left="420" w:right="278"/>
      </w:pPr>
      <w:r>
        <w:t>安装距离要求：与侧壁保持5cm以上，与底部保持10cm以上。</w:t>
      </w:r>
    </w:p>
    <w:p>
      <w:pPr>
        <w:pStyle w:val="3"/>
        <w:numPr>
          <w:ilvl w:val="0"/>
          <w:numId w:val="5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16" w:name="_Toc12999596"/>
      <w:r>
        <w:rPr>
          <w:rFonts w:ascii="Times New Roman" w:hAnsi="Times New Roman"/>
          <w:sz w:val="28"/>
          <w:szCs w:val="28"/>
        </w:rPr>
        <w:t>电气连接</w:t>
      </w:r>
      <w:bookmarkEnd w:id="16"/>
    </w:p>
    <w:p>
      <w:pPr>
        <w:ind w:firstLine="484" w:firstLineChars="2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线缆为4芯双绞屏蔽线，线序定义：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红色线—电源线（12V</w:t>
      </w:r>
      <w:r>
        <w:rPr>
          <w:rFonts w:ascii="Times New Roman" w:hAnsi="Times New Roman"/>
          <w:bCs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5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5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bookmarkStart w:id="17" w:name="_Toc494377400"/>
      <w:bookmarkStart w:id="18" w:name="_Toc496261164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5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8"/>
      <w:bookmarkEnd w:id="9"/>
      <w:bookmarkEnd w:id="17"/>
      <w:bookmarkEnd w:id="18"/>
    </w:p>
    <w:p>
      <w:pPr>
        <w:pStyle w:val="3"/>
        <w:numPr>
          <w:ilvl w:val="0"/>
          <w:numId w:val="2"/>
        </w:numPr>
        <w:spacing w:beforeLines="50" w:after="0" w:line="240" w:lineRule="auto"/>
        <w:rPr>
          <w:rFonts w:ascii="Times New Roman" w:hAnsi="Times New Roman"/>
        </w:rPr>
      </w:pPr>
      <w:bookmarkStart w:id="19" w:name="_Toc12999597"/>
      <w:bookmarkStart w:id="20" w:name="_Toc494117817"/>
      <w:r>
        <w:rPr>
          <w:rFonts w:ascii="Times New Roman" w:hAnsi="Times New Roman"/>
        </w:rPr>
        <w:t>维护和保养</w:t>
      </w:r>
      <w:bookmarkEnd w:id="19"/>
      <w:bookmarkEnd w:id="20"/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1" w:name="_Toc453839758"/>
      <w:bookmarkStart w:id="22" w:name="_Toc451428272"/>
      <w:bookmarkStart w:id="23" w:name="_Toc22491"/>
      <w:bookmarkStart w:id="24" w:name="_Toc12999598"/>
      <w:r>
        <w:rPr>
          <w:rFonts w:ascii="Times New Roman" w:hAnsi="Times New Roman"/>
          <w:sz w:val="28"/>
          <w:szCs w:val="28"/>
        </w:rPr>
        <w:t>维护程序和方法</w:t>
      </w:r>
      <w:bookmarkEnd w:id="21"/>
      <w:bookmarkEnd w:id="22"/>
      <w:bookmarkEnd w:id="23"/>
      <w:bookmarkEnd w:id="24"/>
    </w:p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25" w:name="_Toc3046"/>
      <w:r>
        <w:rPr>
          <w:rFonts w:ascii="Times New Roman" w:hAnsi="Times New Roman"/>
          <w:b/>
          <w:kern w:val="0"/>
          <w:sz w:val="24"/>
        </w:rPr>
        <w:t>1.1维护日程</w:t>
      </w:r>
    </w:p>
    <w:p>
      <w:pPr>
        <w:spacing w:afterLines="50"/>
        <w:ind w:left="420" w:firstLine="4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测量窗口的洁净度对于维持准确的读数而言是非常重要的。</w:t>
      </w:r>
    </w:p>
    <w:tbl>
      <w:tblPr>
        <w:tblStyle w:val="13"/>
        <w:tblW w:w="8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维护任务</w:t>
            </w:r>
          </w:p>
        </w:tc>
        <w:tc>
          <w:tcPr>
            <w:tcW w:w="4264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建议维护频率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4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校准传感器（如主管部门有要求）</w:t>
            </w:r>
          </w:p>
        </w:tc>
        <w:tc>
          <w:tcPr>
            <w:tcW w:w="4264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根据主管部门所要求的维护日程进行</w:t>
            </w:r>
          </w:p>
        </w:tc>
      </w:tr>
    </w:tbl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1.2维护方法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传感器外表面：用自来水清洗传感器的外表面，如果仍有碎屑残留，用湿润的软布进行擦拭，对于一些顽固的污垢，可以在自来水中加入一些家用洗涤液来清洗。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检查传感器的线缆：正常工作时线缆不应绷紧，否则容易使线缆内部电线断裂，使传感器不能正常工作。</w:t>
      </w:r>
    </w:p>
    <w:p>
      <w:pPr>
        <w:numPr>
          <w:ilvl w:val="0"/>
          <w:numId w:val="8"/>
        </w:numPr>
        <w:ind w:left="0" w:right="601"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检查传感器的测量窗口是否有脏污，清洁刷是否正常。</w:t>
      </w:r>
    </w:p>
    <w:p>
      <w:pPr>
        <w:pStyle w:val="25"/>
        <w:suppressAutoHyphens w:val="0"/>
        <w:spacing w:beforeLines="50" w:afterLines="50"/>
        <w:ind w:left="425" w:firstLine="0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1.3注意事项</w:t>
      </w:r>
    </w:p>
    <w:p>
      <w:pPr>
        <w:spacing w:line="245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传感器中含有敏感的光学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件和</w:t>
      </w:r>
      <w:r>
        <w:rPr>
          <w:rFonts w:ascii="Times New Roman" w:hAnsi="Times New Roman"/>
          <w:spacing w:val="-3"/>
          <w:sz w:val="24"/>
          <w:szCs w:val="24"/>
        </w:rPr>
        <w:t>电</w:t>
      </w:r>
      <w:r>
        <w:rPr>
          <w:rFonts w:ascii="Times New Roman" w:hAnsi="Times New Roman"/>
          <w:sz w:val="24"/>
          <w:szCs w:val="24"/>
        </w:rPr>
        <w:t>子部</w:t>
      </w:r>
      <w:r>
        <w:rPr>
          <w:rFonts w:ascii="Times New Roman" w:hAnsi="Times New Roman"/>
          <w:spacing w:val="-3"/>
          <w:sz w:val="24"/>
          <w:szCs w:val="24"/>
        </w:rPr>
        <w:t>件</w:t>
      </w:r>
      <w:r>
        <w:rPr>
          <w:rFonts w:ascii="Times New Roman" w:hAnsi="Times New Roman"/>
          <w:sz w:val="24"/>
          <w:szCs w:val="24"/>
        </w:rPr>
        <w:t>。确</w:t>
      </w:r>
      <w:r>
        <w:rPr>
          <w:rFonts w:ascii="Times New Roman" w:hAnsi="Times New Roman"/>
          <w:spacing w:val="-3"/>
          <w:sz w:val="24"/>
          <w:szCs w:val="24"/>
        </w:rPr>
        <w:t>保</w:t>
      </w:r>
      <w:r>
        <w:rPr>
          <w:rFonts w:ascii="Times New Roman" w:hAnsi="Times New Roman"/>
          <w:sz w:val="24"/>
          <w:szCs w:val="24"/>
        </w:rPr>
        <w:t>传感器</w:t>
      </w:r>
      <w:r>
        <w:rPr>
          <w:rFonts w:ascii="Times New Roman" w:hAnsi="Times New Roman"/>
          <w:spacing w:val="-3"/>
          <w:sz w:val="24"/>
          <w:szCs w:val="24"/>
        </w:rPr>
        <w:t>不</w:t>
      </w:r>
      <w:r>
        <w:rPr>
          <w:rFonts w:ascii="Times New Roman" w:hAnsi="Times New Roman"/>
          <w:sz w:val="24"/>
          <w:szCs w:val="24"/>
        </w:rPr>
        <w:t>要受</w:t>
      </w:r>
      <w:r>
        <w:rPr>
          <w:rFonts w:ascii="Times New Roman" w:hAnsi="Times New Roman"/>
          <w:spacing w:val="-3"/>
          <w:sz w:val="24"/>
          <w:szCs w:val="24"/>
        </w:rPr>
        <w:t>到</w:t>
      </w:r>
      <w:r>
        <w:rPr>
          <w:rFonts w:ascii="Times New Roman" w:hAnsi="Times New Roman"/>
          <w:sz w:val="24"/>
          <w:szCs w:val="24"/>
        </w:rPr>
        <w:t>剧烈</w:t>
      </w:r>
      <w:r>
        <w:rPr>
          <w:rFonts w:ascii="Times New Roman" w:hAnsi="Times New Roman"/>
          <w:spacing w:val="-3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机械</w:t>
      </w:r>
      <w:r>
        <w:rPr>
          <w:rFonts w:ascii="Times New Roman" w:hAnsi="Times New Roman"/>
          <w:spacing w:val="-3"/>
          <w:sz w:val="24"/>
          <w:szCs w:val="24"/>
        </w:rPr>
        <w:t>撞</w:t>
      </w:r>
      <w:r>
        <w:rPr>
          <w:rFonts w:ascii="Times New Roman" w:hAnsi="Times New Roman"/>
          <w:sz w:val="24"/>
          <w:szCs w:val="24"/>
        </w:rPr>
        <w:t>击。传感器内</w:t>
      </w:r>
      <w:r>
        <w:rPr>
          <w:rFonts w:ascii="Times New Roman" w:hAnsi="Times New Roman"/>
          <w:spacing w:val="-3"/>
          <w:sz w:val="24"/>
          <w:szCs w:val="24"/>
        </w:rPr>
        <w:t>部</w:t>
      </w:r>
      <w:r>
        <w:rPr>
          <w:rFonts w:ascii="Times New Roman" w:hAnsi="Times New Roman"/>
          <w:sz w:val="24"/>
          <w:szCs w:val="24"/>
        </w:rPr>
        <w:t>没有需要用户维护的部件。</w:t>
      </w:r>
    </w:p>
    <w:p>
      <w:pPr>
        <w:pStyle w:val="3"/>
        <w:numPr>
          <w:ilvl w:val="0"/>
          <w:numId w:val="7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6" w:name="_Toc12999599"/>
      <w:r>
        <w:rPr>
          <w:rFonts w:ascii="Times New Roman" w:hAnsi="Times New Roman"/>
          <w:sz w:val="28"/>
          <w:szCs w:val="28"/>
        </w:rPr>
        <w:t>传感器的校准</w:t>
      </w:r>
      <w:bookmarkEnd w:id="26"/>
    </w:p>
    <w:p>
      <w:pPr>
        <w:pStyle w:val="26"/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零点校准：用大点的烧杯量取适量零浊度液，将传感器垂直放在溶液中，传感器测量端面离烧杯底部至少10cm，3～5分钟待数值稳定后进行零点校准。指令参照附录。</w:t>
      </w:r>
    </w:p>
    <w:p>
      <w:pPr>
        <w:pStyle w:val="26"/>
        <w:numPr>
          <w:ilvl w:val="0"/>
          <w:numId w:val="9"/>
        </w:numPr>
        <w:spacing w:beforeLines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斜率校准：将传感器测量端面放置于标准溶液中，传感器测量端面离烧杯底部至少10cm，3～5分钟待数值稳定后进行斜率校准。指令参照附录。</w:t>
      </w:r>
    </w:p>
    <w:p>
      <w:pPr>
        <w:pStyle w:val="3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27" w:name="_Toc12999600"/>
      <w:bookmarkStart w:id="28" w:name="_Toc495562277"/>
      <w:r>
        <w:rPr>
          <w:rFonts w:ascii="Times New Roman" w:hAnsi="Times New Roman"/>
          <w:sz w:val="28"/>
          <w:szCs w:val="28"/>
        </w:rPr>
        <w:t>常见问题解答</w:t>
      </w:r>
      <w:bookmarkEnd w:id="27"/>
      <w:bookmarkEnd w:id="28"/>
    </w:p>
    <w:tbl>
      <w:tblPr>
        <w:tblStyle w:val="13"/>
        <w:tblW w:w="96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2"/>
        <w:gridCol w:w="3323"/>
        <w:gridCol w:w="2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322" w:type="dxa"/>
            <w:tcBorders>
              <w:top w:val="single" w:color="auto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问题</w:t>
            </w:r>
          </w:p>
        </w:tc>
        <w:tc>
          <w:tcPr>
            <w:tcW w:w="3323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可能的原因</w:t>
            </w:r>
          </w:p>
        </w:tc>
        <w:tc>
          <w:tcPr>
            <w:tcW w:w="2996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解决方法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3322" w:type="dxa"/>
            <w:vMerge w:val="restart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操作界</w:t>
            </w:r>
            <w:r>
              <w:rPr>
                <w:rFonts w:ascii="Times New Roman" w:hAnsi="Times New Roman"/>
                <w:sz w:val="24"/>
                <w:szCs w:val="24"/>
              </w:rPr>
              <w:t>面无法连接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或不显</w:t>
            </w:r>
            <w:r>
              <w:rPr>
                <w:rFonts w:ascii="Times New Roman" w:hAnsi="Times New Roman"/>
                <w:sz w:val="24"/>
                <w:szCs w:val="24"/>
              </w:rPr>
              <w:t>示测量结果</w:t>
            </w: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重新连接控制器和线缆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322" w:type="dxa"/>
            <w:vMerge w:val="continue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线缆故障</w:t>
            </w:r>
          </w:p>
        </w:tc>
        <w:tc>
          <w:tcPr>
            <w:tcW w:w="2996" w:type="dxa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请联系我们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322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测量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值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>过高、过低或数值持续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不稳定</w:t>
            </w:r>
          </w:p>
        </w:tc>
        <w:tc>
          <w:tcPr>
            <w:tcW w:w="3323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传感器视窗被外物附着</w:t>
            </w:r>
          </w:p>
        </w:tc>
        <w:tc>
          <w:tcPr>
            <w:tcW w:w="299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清洗传感器视窗表面</w:t>
            </w:r>
          </w:p>
        </w:tc>
      </w:tr>
    </w:tbl>
    <w:p>
      <w:pPr>
        <w:pStyle w:val="3"/>
        <w:numPr>
          <w:ilvl w:val="0"/>
          <w:numId w:val="2"/>
        </w:numPr>
        <w:spacing w:beforeLines="50" w:afterLines="50" w:line="240" w:lineRule="auto"/>
        <w:rPr>
          <w:rFonts w:ascii="Times New Roman" w:hAnsi="Times New Roman"/>
        </w:rPr>
      </w:pPr>
      <w:bookmarkStart w:id="29" w:name="_Toc12999601"/>
      <w:bookmarkStart w:id="30" w:name="_Toc494101348"/>
      <w:bookmarkStart w:id="31" w:name="_Toc495562278"/>
      <w:r>
        <w:rPr>
          <w:rFonts w:ascii="Times New Roman" w:hAnsi="Times New Roman"/>
        </w:rPr>
        <w:t>质量和服务</w:t>
      </w:r>
      <w:bookmarkEnd w:id="29"/>
      <w:bookmarkEnd w:id="30"/>
      <w:bookmarkEnd w:id="31"/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2" w:name="_Toc12999602"/>
      <w:bookmarkStart w:id="33" w:name="_Toc494101349"/>
      <w:bookmarkStart w:id="34" w:name="_Toc495562279"/>
      <w:r>
        <w:rPr>
          <w:rFonts w:ascii="Times New Roman" w:hAnsi="Times New Roman"/>
          <w:sz w:val="28"/>
          <w:szCs w:val="28"/>
        </w:rPr>
        <w:t>质量保证</w:t>
      </w:r>
      <w:bookmarkEnd w:id="32"/>
      <w:bookmarkEnd w:id="33"/>
      <w:bookmarkEnd w:id="34"/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/>
          <w:szCs w:val="28"/>
          <w:shd w:val="clear" w:color="FFFFFF" w:fill="D9D9D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保证货源数量和出货速度。</w:t>
      </w:r>
    </w:p>
    <w:p>
      <w:pPr>
        <w:tabs>
          <w:tab w:val="left" w:pos="42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5" w:name="_Toc12999603"/>
      <w:bookmarkStart w:id="36" w:name="_Toc495562280"/>
      <w:bookmarkStart w:id="37" w:name="_Toc494101350"/>
      <w:r>
        <w:rPr>
          <w:rFonts w:ascii="Times New Roman" w:hAnsi="Times New Roman"/>
          <w:sz w:val="28"/>
          <w:szCs w:val="28"/>
        </w:rPr>
        <w:t>配件和备件</w:t>
      </w:r>
      <w:bookmarkEnd w:id="35"/>
      <w:bookmarkEnd w:id="36"/>
      <w:bookmarkEnd w:id="37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此产品包括：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传感器1支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说明书1份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合格证1张</w:t>
      </w:r>
    </w:p>
    <w:p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线缆1根（5m）</w:t>
      </w:r>
    </w:p>
    <w:p>
      <w:pPr>
        <w:pStyle w:val="3"/>
        <w:numPr>
          <w:ilvl w:val="0"/>
          <w:numId w:val="10"/>
        </w:numPr>
        <w:spacing w:before="0" w:afterLines="50" w:line="240" w:lineRule="auto"/>
        <w:jc w:val="left"/>
        <w:rPr>
          <w:rFonts w:ascii="Times New Roman" w:hAnsi="Times New Roman"/>
          <w:sz w:val="28"/>
          <w:szCs w:val="28"/>
        </w:rPr>
      </w:pPr>
      <w:bookmarkStart w:id="38" w:name="_Toc494101351"/>
      <w:bookmarkStart w:id="39" w:name="_Toc12999604"/>
      <w:bookmarkStart w:id="40" w:name="_Toc495562281"/>
      <w:r>
        <w:rPr>
          <w:rFonts w:ascii="Times New Roman" w:hAnsi="Times New Roman"/>
          <w:sz w:val="28"/>
          <w:szCs w:val="28"/>
        </w:rPr>
        <w:t>售后服务承诺</w:t>
      </w:r>
      <w:bookmarkEnd w:id="38"/>
      <w:bookmarkEnd w:id="39"/>
      <w:bookmarkEnd w:id="40"/>
    </w:p>
    <w:p>
      <w:pPr>
        <w:tabs>
          <w:tab w:val="left" w:pos="420"/>
        </w:tabs>
        <w:ind w:firstLine="480" w:firstLineChars="200"/>
        <w:rPr>
          <w:rFonts w:ascii="Times New Roman" w:hAnsi="Times New Roman"/>
        </w:rPr>
      </w:pPr>
      <w:bookmarkStart w:id="41" w:name="OLE_LINK9"/>
      <w:r>
        <w:rPr>
          <w:rFonts w:ascii="Times New Roman" w:hAnsi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41"/>
      <w:r>
        <w:rPr>
          <w:rFonts w:ascii="Times New Roman" w:hAnsi="Times New Roman"/>
        </w:rPr>
        <w:tab/>
      </w:r>
      <w:bookmarkEnd w:id="25"/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pStyle w:val="3"/>
        <w:spacing w:beforeLines="100" w:afterLines="50" w:line="240" w:lineRule="auto"/>
        <w:ind w:left="323"/>
      </w:pPr>
      <w:bookmarkStart w:id="42" w:name="_Toc495754066"/>
      <w:bookmarkStart w:id="43" w:name="_Toc12999605"/>
      <w:r>
        <w:rPr>
          <w:rFonts w:ascii="Times New Roman" w:hAnsi="Times New Roman"/>
        </w:rPr>
        <w:t>附录 数据通讯</w:t>
      </w:r>
      <w:bookmarkEnd w:id="42"/>
      <w:bookmarkEnd w:id="43"/>
      <w:bookmarkStart w:id="44" w:name="_Toc453839755"/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数据格式</w:t>
      </w:r>
      <w:bookmarkEnd w:id="44"/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5" w:name="_Toc453839756"/>
      <w:r>
        <w:rPr>
          <w:rFonts w:ascii="Times New Roman" w:hAnsi="Times New Roman"/>
          <w:b/>
          <w:kern w:val="0"/>
          <w:szCs w:val="28"/>
        </w:rPr>
        <w:t>信息帧格式</w:t>
      </w:r>
      <w:bookmarkEnd w:id="45"/>
      <w:bookmarkStart w:id="46" w:name="_Toc453839757"/>
      <w:r>
        <w:rPr>
          <w:rFonts w:ascii="Times New Roman" w:hAnsi="Times New Roman"/>
          <w:kern w:val="0"/>
          <w:szCs w:val="28"/>
        </w:rPr>
        <w:t>(xx代表一个字节）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03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xxxx</w:t>
      </w:r>
    </w:p>
    <w:p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地址     功能码   寄存器起始地址    寄存器数量       CRC校验码（低字节在前）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03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xx……xx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xx   xx</w:t>
      </w:r>
    </w:p>
    <w:p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地址     功能码     字节数          应答数据         CRC校验码（低字节在前）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xx  xx 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    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</w:p>
    <w:p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4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xx</w:t>
      </w:r>
    </w:p>
    <w:p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地址     功能码    寄存器地址       写入数据         CRC校验码（低字节在前）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2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78"/>
        <w:gridCol w:w="3271"/>
        <w:gridCol w:w="153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寄存器地址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271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说明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寄存器个数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(0x0000)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测量值+温度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4（8字节）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零点校准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～100NTU量程在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～20NTU浊度液中校准，写入数据为标准溶液实际值</w:t>
            </w:r>
            <w:r>
              <w:rPr>
                <w:rFonts w:ascii="Times New Roman" w:hAnsi="Times New Roman"/>
                <w:sz w:val="24"/>
              </w:rPr>
              <w:t>×10；0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～1000NTU量程在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～200NTU浊度液中校准，写入数据为标准溶液实际值</w:t>
            </w:r>
            <w:r>
              <w:rPr>
                <w:rFonts w:ascii="Times New Roman" w:hAnsi="Times New Roman"/>
                <w:sz w:val="24"/>
              </w:rPr>
              <w:t>×10；读出数据为零点偏移量。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(0x1004)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斜率校准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～100NTU量程在2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00NTU浊度液中校准，写入数据为标准溶液实际值</w:t>
            </w:r>
            <w:r>
              <w:rPr>
                <w:rFonts w:ascii="Times New Roman" w:hAnsi="Times New Roman"/>
                <w:sz w:val="24"/>
              </w:rPr>
              <w:t>×10；0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～1000NTU量程在20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  <w:t>～1000NTU浊度液中校准，写入数据为标准溶液实际值</w:t>
            </w:r>
            <w:r>
              <w:rPr>
                <w:rFonts w:ascii="Times New Roman" w:hAnsi="Times New Roman"/>
                <w:sz w:val="24"/>
              </w:rPr>
              <w:t>×10；读出数据为斜率值×1000。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(0x1010)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温度校准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在溶液中校准，写入数据为实际温度值×10；读出数据为温度校准偏移量×10。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(0x2002)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传感器地址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bookmarkStart w:id="47" w:name="_GoBack"/>
            <w:r>
              <w:rPr>
                <w:rFonts w:ascii="Times New Roman" w:hAnsi="Times New Roman"/>
                <w:sz w:val="24"/>
                <w:highlight w:val="yellow"/>
              </w:rPr>
              <w:t>默认为</w:t>
            </w:r>
            <w:r>
              <w:rPr>
                <w:rFonts w:hint="eastAsia" w:ascii="Times New Roman" w:hAnsi="Times New Roman"/>
                <w:sz w:val="24"/>
                <w:highlight w:val="yellow"/>
                <w:lang w:val="en-US" w:eastAsia="zh-CN"/>
              </w:rPr>
              <w:t>7</w:t>
            </w:r>
            <w:r>
              <w:rPr>
                <w:rFonts w:ascii="Times New Roman" w:hAnsi="Times New Roman"/>
                <w:sz w:val="24"/>
                <w:highlight w:val="yellow"/>
              </w:rPr>
              <w:t>，写入数据范围1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～</w:t>
            </w:r>
            <w:r>
              <w:rPr>
                <w:rFonts w:hint="eastAsia" w:ascii="Times New Roman" w:hAnsi="Times New Roman"/>
                <w:sz w:val="24"/>
                <w:highlight w:val="yellow"/>
              </w:rPr>
              <w:t>255</w:t>
            </w:r>
            <w:r>
              <w:rPr>
                <w:rFonts w:ascii="Times New Roman" w:hAnsi="Times New Roman"/>
                <w:sz w:val="24"/>
                <w:highlight w:val="yellow"/>
              </w:rPr>
              <w:t>。</w:t>
            </w:r>
            <w:bookmarkEnd w:id="47"/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auto" w:sz="6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(0x2020)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重置传感器</w:t>
            </w:r>
          </w:p>
        </w:tc>
        <w:tc>
          <w:tcPr>
            <w:tcW w:w="3271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1（2字节）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写</w:t>
            </w:r>
          </w:p>
        </w:tc>
      </w:tr>
    </w:tbl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  <w:bookmarkEnd w:id="46"/>
    </w:p>
    <w:p>
      <w:pPr>
        <w:pStyle w:val="25"/>
        <w:numPr>
          <w:ilvl w:val="0"/>
          <w:numId w:val="15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测量指令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作用：获取传感器测量的浊度值和温度；温度的单位为℃，浊度的单位为NTU。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请求帧：0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03 00 00 00 04 </w:t>
      </w:r>
      <w:r>
        <w:rPr>
          <w:rFonts w:hint="eastAsia" w:ascii="Times New Roman" w:hAnsi="Times New Roman"/>
          <w:kern w:val="2"/>
          <w:sz w:val="24"/>
        </w:rPr>
        <w:t>44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6F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应答帧：0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7 </w:t>
      </w:r>
      <w:r>
        <w:rPr>
          <w:rFonts w:ascii="Times New Roman" w:hAnsi="Times New Roman"/>
          <w:kern w:val="2"/>
          <w:sz w:val="24"/>
        </w:rPr>
        <w:t xml:space="preserve">03 08 01 02 00 01 00 B0 00 01 </w:t>
      </w:r>
      <w:r>
        <w:rPr>
          <w:rFonts w:hint="eastAsia" w:ascii="Times New Roman" w:hAnsi="Times New Roman"/>
          <w:kern w:val="2"/>
          <w:sz w:val="24"/>
        </w:rPr>
        <w:t>94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B4</w:t>
      </w:r>
    </w:p>
    <w:p>
      <w:pPr>
        <w:pStyle w:val="25"/>
        <w:ind w:left="360" w:firstLine="480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读数示例：</w:t>
      </w:r>
    </w:p>
    <w:tbl>
      <w:tblPr>
        <w:tblStyle w:val="12"/>
        <w:tblpPr w:leftFromText="180" w:rightFromText="180" w:vertAnchor="text" w:horzAnchor="page" w:tblpX="3300" w:tblpY="195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5"/>
              <w:ind w:firstLine="0" w:firstLineChars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浊度值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600" w:firstLineChars="2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</w:tcPr>
          <w:p>
            <w:pPr>
              <w:pStyle w:val="25"/>
              <w:ind w:left="-71" w:leftChars="-34" w:firstLine="360" w:firstLineChars="1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01 02 00 01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5"/>
              <w:ind w:left="-71" w:leftChars="-34" w:firstLine="240" w:firstLine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 B0 00 01</w:t>
            </w:r>
          </w:p>
        </w:tc>
      </w:tr>
    </w:tbl>
    <w:p>
      <w:pPr>
        <w:pStyle w:val="25"/>
        <w:ind w:firstLine="0" w:firstLineChars="0"/>
        <w:rPr>
          <w:rFonts w:ascii="Times New Roman" w:hAnsi="Times New Roman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0" w:firstLineChars="0"/>
        <w:rPr>
          <w:rFonts w:ascii="Times New Roman" w:hAnsi="Times New Roman"/>
          <w:kern w:val="2"/>
          <w:sz w:val="24"/>
        </w:rPr>
      </w:pPr>
    </w:p>
    <w:p>
      <w:pPr>
        <w:pStyle w:val="25"/>
        <w:ind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 xml:space="preserve"> 如：浊度值 01 02 表示十六进制读数浊度值，00 01 表示浊度数值带1位小数点，</w:t>
      </w:r>
      <w:r>
        <w:rPr>
          <w:rFonts w:ascii="Times New Roman" w:hAnsi="Times New Roman"/>
          <w:sz w:val="24"/>
        </w:rPr>
        <w:t>转换成十进制数值为25.8。</w:t>
      </w:r>
    </w:p>
    <w:p>
      <w:pPr>
        <w:pStyle w:val="25"/>
        <w:ind w:firstLine="48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温度值00 B0 表示十六进制读数温度值，00 01表示温度数值带1位小数点转换成十进制数值为17.6。</w:t>
      </w:r>
    </w:p>
    <w:p>
      <w:pPr>
        <w:pStyle w:val="25"/>
        <w:numPr>
          <w:ilvl w:val="0"/>
          <w:numId w:val="15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零点校准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作用：设定传感器浊度的零点校准值；此处零点校准在零浊度水中进行；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06 10 00 00 00 </w:t>
      </w:r>
      <w:r>
        <w:rPr>
          <w:rFonts w:hint="eastAsia" w:ascii="Times New Roman" w:hAnsi="Times New Roman"/>
          <w:kern w:val="2"/>
          <w:sz w:val="24"/>
        </w:rPr>
        <w:t>8D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斜率校准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作用：设定传感器浊度的斜率校准值；此处斜率值以实际标准溶液数值x10为准，以1000NTU为示例</w:t>
      </w:r>
      <w:r>
        <w:rPr>
          <w:rFonts w:hint="eastAsia" w:ascii="Times New Roman" w:hAnsi="Times New Roman"/>
          <w:kern w:val="2"/>
          <w:sz w:val="24"/>
        </w:rPr>
        <w:t>，</w:t>
      </w:r>
      <w:r>
        <w:rPr>
          <w:rFonts w:ascii="Times New Roman" w:hAnsi="Times New Roman"/>
          <w:kern w:val="2"/>
          <w:sz w:val="24"/>
        </w:rPr>
        <w:t>写入数值为1000x10，即0x2710；</w:t>
      </w:r>
    </w:p>
    <w:p>
      <w:pPr>
        <w:pStyle w:val="25"/>
        <w:ind w:left="360" w:firstLine="48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06 10 04 27 10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CC</w:t>
      </w:r>
    </w:p>
    <w:p>
      <w:pPr>
        <w:pStyle w:val="25"/>
        <w:ind w:left="360" w:firstLine="480"/>
        <w:rPr>
          <w:rFonts w:hint="eastAsia" w:ascii="Times New Roman" w:hAnsi="Times New Roman" w:eastAsia="宋体"/>
          <w:kern w:val="2"/>
          <w:sz w:val="24"/>
          <w:lang w:eastAsia="zh-CN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06 10 04 27 10 </w:t>
      </w:r>
      <w:r>
        <w:rPr>
          <w:rFonts w:hint="eastAsia" w:ascii="Times New Roman" w:hAnsi="Times New Roman"/>
          <w:kern w:val="2"/>
          <w:sz w:val="24"/>
        </w:rPr>
        <w:t>C1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CC</w:t>
      </w:r>
    </w:p>
    <w:p>
      <w:pPr>
        <w:pStyle w:val="25"/>
        <w:numPr>
          <w:ilvl w:val="0"/>
          <w:numId w:val="15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将设备地址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5"/>
        <w:ind w:left="36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ind w:left="360" w:firstLine="480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7</w:t>
      </w:r>
      <w:r>
        <w:rPr>
          <w:rFonts w:ascii="Times New Roman" w:hAnsi="Times New Roman"/>
          <w:kern w:val="2"/>
          <w:sz w:val="24"/>
        </w:rPr>
        <w:t xml:space="preserve"> 06 20 02 00 01 </w:t>
      </w:r>
      <w:r>
        <w:rPr>
          <w:rFonts w:hint="eastAsia" w:ascii="Times New Roman" w:hAnsi="Times New Roman"/>
          <w:kern w:val="2"/>
          <w:sz w:val="24"/>
        </w:rPr>
        <w:t>E2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6C</w:t>
      </w:r>
    </w:p>
    <w:p>
      <w:pPr>
        <w:pStyle w:val="25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2"/>
        <w:tblW w:w="6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04"/>
        <w:gridCol w:w="1312"/>
        <w:gridCol w:w="12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定义</w:t>
            </w:r>
          </w:p>
        </w:tc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功能码</w:t>
            </w:r>
          </w:p>
        </w:tc>
        <w:tc>
          <w:tcPr>
            <w:tcW w:w="1211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CODE</w:t>
            </w:r>
          </w:p>
        </w:tc>
        <w:tc>
          <w:tcPr>
            <w:tcW w:w="155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数据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COM+80H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字节数</w:t>
            </w:r>
          </w:p>
        </w:tc>
        <w:tc>
          <w:tcPr>
            <w:tcW w:w="110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25"/>
        <w:numPr>
          <w:ilvl w:val="0"/>
          <w:numId w:val="16"/>
        </w:numPr>
        <w:suppressAutoHyphens w:val="0"/>
        <w:spacing w:beforeLines="50"/>
        <w:ind w:left="845"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ind w:left="420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03 – </w:t>
      </w:r>
      <w:r>
        <w:rPr>
          <w:rFonts w:ascii="Times New Roman" w:hAnsi="Times New Roman"/>
          <w:sz w:val="24"/>
          <w:szCs w:val="24"/>
        </w:rPr>
        <w:t>数据错</w:t>
      </w:r>
    </w:p>
    <w:p>
      <w:pPr>
        <w:pStyle w:val="25"/>
        <w:numPr>
          <w:ilvl w:val="0"/>
          <w:numId w:val="16"/>
        </w:numPr>
        <w:suppressAutoHyphens w:val="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凯米斯科技                      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pPr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ascii="Times New Roman" w:hAnsi="Times New Roman"/>
        <w:sz w:val="18"/>
        <w:szCs w:val="18"/>
      </w:rPr>
      <w:t>www.chemins-tech.com</w:t>
    </w:r>
    <w:r>
      <w:rPr>
        <w:rStyle w:val="15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 xml:space="preserve">烟台凯米斯仪器有限公司Rev2021-01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9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5"/>
        <w:rFonts w:hint="eastAsia"/>
      </w:rPr>
      <w:t>www.chemins-tech.com</w:t>
    </w:r>
    <w:r>
      <w:rPr>
        <w:rStyle w:val="15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-349250</wp:posOffset>
          </wp:positionV>
          <wp:extent cx="1700530" cy="405130"/>
          <wp:effectExtent l="19050" t="0" r="0" b="0"/>
          <wp:wrapNone/>
          <wp:docPr id="8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5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-260350</wp:posOffset>
          </wp:positionV>
          <wp:extent cx="1699260" cy="40640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31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00F70"/>
    <w:multiLevelType w:val="multilevel"/>
    <w:tmpl w:val="00100F70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846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2419E"/>
    <w:multiLevelType w:val="multilevel"/>
    <w:tmpl w:val="05F2419E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0180DFB"/>
    <w:multiLevelType w:val="multilevel"/>
    <w:tmpl w:val="10180DF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C11925"/>
    <w:multiLevelType w:val="multilevel"/>
    <w:tmpl w:val="30C11925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35524E51"/>
    <w:multiLevelType w:val="multilevel"/>
    <w:tmpl w:val="35524E5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8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0">
    <w:nsid w:val="5767B7FB"/>
    <w:multiLevelType w:val="singleLevel"/>
    <w:tmpl w:val="5767B7F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93B9147"/>
    <w:multiLevelType w:val="singleLevel"/>
    <w:tmpl w:val="593B9147"/>
    <w:lvl w:ilvl="0" w:tentative="0">
      <w:start w:val="1"/>
      <w:numFmt w:val="chineseCounting"/>
      <w:suff w:val="space"/>
      <w:lvlText w:val="%1、"/>
      <w:lvlJc w:val="left"/>
    </w:lvl>
  </w:abstractNum>
  <w:abstractNum w:abstractNumId="12">
    <w:nsid w:val="593BA16D"/>
    <w:multiLevelType w:val="singleLevel"/>
    <w:tmpl w:val="593BA1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61EC5A1F"/>
    <w:multiLevelType w:val="multilevel"/>
    <w:tmpl w:val="61EC5A1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iYTFkZjJhYTBlN2U1NmNhYmEyNGRhYThjZWQ4NjgifQ=="/>
  </w:docVars>
  <w:rsids>
    <w:rsidRoot w:val="005B7FF9"/>
    <w:rsid w:val="000019E2"/>
    <w:rsid w:val="00001C04"/>
    <w:rsid w:val="00003029"/>
    <w:rsid w:val="00003AA8"/>
    <w:rsid w:val="000268C5"/>
    <w:rsid w:val="00032ECD"/>
    <w:rsid w:val="00033F6B"/>
    <w:rsid w:val="000405EA"/>
    <w:rsid w:val="0004194D"/>
    <w:rsid w:val="0006427F"/>
    <w:rsid w:val="00090D83"/>
    <w:rsid w:val="00092387"/>
    <w:rsid w:val="000A3D6E"/>
    <w:rsid w:val="000B4CAF"/>
    <w:rsid w:val="000C071B"/>
    <w:rsid w:val="000E06D0"/>
    <w:rsid w:val="000F2686"/>
    <w:rsid w:val="000F2F75"/>
    <w:rsid w:val="00105D9D"/>
    <w:rsid w:val="0010678E"/>
    <w:rsid w:val="00106E9A"/>
    <w:rsid w:val="001107D3"/>
    <w:rsid w:val="00115602"/>
    <w:rsid w:val="00134A9E"/>
    <w:rsid w:val="00136CEE"/>
    <w:rsid w:val="001600DF"/>
    <w:rsid w:val="00165F3A"/>
    <w:rsid w:val="00194493"/>
    <w:rsid w:val="001A4BFA"/>
    <w:rsid w:val="001B0E42"/>
    <w:rsid w:val="001B29C5"/>
    <w:rsid w:val="001B7842"/>
    <w:rsid w:val="001C181E"/>
    <w:rsid w:val="001C33A0"/>
    <w:rsid w:val="001C3BFF"/>
    <w:rsid w:val="0021312C"/>
    <w:rsid w:val="00215C30"/>
    <w:rsid w:val="00221779"/>
    <w:rsid w:val="00221C8A"/>
    <w:rsid w:val="00222BB7"/>
    <w:rsid w:val="0022534B"/>
    <w:rsid w:val="00250BA6"/>
    <w:rsid w:val="00251233"/>
    <w:rsid w:val="00251E15"/>
    <w:rsid w:val="00271FCD"/>
    <w:rsid w:val="002778EA"/>
    <w:rsid w:val="00294524"/>
    <w:rsid w:val="002B2290"/>
    <w:rsid w:val="002C6039"/>
    <w:rsid w:val="002F0EFF"/>
    <w:rsid w:val="002F24BE"/>
    <w:rsid w:val="00320C3D"/>
    <w:rsid w:val="00323459"/>
    <w:rsid w:val="00323E6F"/>
    <w:rsid w:val="003473F6"/>
    <w:rsid w:val="00355DE8"/>
    <w:rsid w:val="00361381"/>
    <w:rsid w:val="0036772E"/>
    <w:rsid w:val="003804A9"/>
    <w:rsid w:val="003A37CE"/>
    <w:rsid w:val="003A4BB0"/>
    <w:rsid w:val="003A4CEE"/>
    <w:rsid w:val="003B3603"/>
    <w:rsid w:val="003D41C2"/>
    <w:rsid w:val="00421E06"/>
    <w:rsid w:val="00425EEB"/>
    <w:rsid w:val="004269F3"/>
    <w:rsid w:val="0043375A"/>
    <w:rsid w:val="00444CCE"/>
    <w:rsid w:val="00455FC0"/>
    <w:rsid w:val="0046215B"/>
    <w:rsid w:val="00467500"/>
    <w:rsid w:val="00480FF7"/>
    <w:rsid w:val="0048178D"/>
    <w:rsid w:val="004819B1"/>
    <w:rsid w:val="00481B63"/>
    <w:rsid w:val="00482C6B"/>
    <w:rsid w:val="00495F7C"/>
    <w:rsid w:val="004A3EE5"/>
    <w:rsid w:val="004A7038"/>
    <w:rsid w:val="004B514A"/>
    <w:rsid w:val="004B7EB4"/>
    <w:rsid w:val="004C0F8D"/>
    <w:rsid w:val="004C1C76"/>
    <w:rsid w:val="004E2055"/>
    <w:rsid w:val="004E6839"/>
    <w:rsid w:val="004F57E3"/>
    <w:rsid w:val="004F5FA6"/>
    <w:rsid w:val="005065F2"/>
    <w:rsid w:val="005073E6"/>
    <w:rsid w:val="00513D7D"/>
    <w:rsid w:val="00534F4F"/>
    <w:rsid w:val="00542899"/>
    <w:rsid w:val="00543813"/>
    <w:rsid w:val="00574D43"/>
    <w:rsid w:val="00583179"/>
    <w:rsid w:val="00584D69"/>
    <w:rsid w:val="005866F7"/>
    <w:rsid w:val="00597200"/>
    <w:rsid w:val="00597721"/>
    <w:rsid w:val="005A603D"/>
    <w:rsid w:val="005A62A5"/>
    <w:rsid w:val="005B7FF9"/>
    <w:rsid w:val="005C695F"/>
    <w:rsid w:val="005D1987"/>
    <w:rsid w:val="00604479"/>
    <w:rsid w:val="00605087"/>
    <w:rsid w:val="00605F84"/>
    <w:rsid w:val="00610336"/>
    <w:rsid w:val="00620FF8"/>
    <w:rsid w:val="0062128D"/>
    <w:rsid w:val="00623C59"/>
    <w:rsid w:val="00624DD0"/>
    <w:rsid w:val="00643B96"/>
    <w:rsid w:val="00651643"/>
    <w:rsid w:val="00651645"/>
    <w:rsid w:val="00652D2B"/>
    <w:rsid w:val="006616B6"/>
    <w:rsid w:val="0066372F"/>
    <w:rsid w:val="006663C7"/>
    <w:rsid w:val="00667988"/>
    <w:rsid w:val="00670FE4"/>
    <w:rsid w:val="00685EDF"/>
    <w:rsid w:val="00695461"/>
    <w:rsid w:val="00697D2A"/>
    <w:rsid w:val="006A0F35"/>
    <w:rsid w:val="006A0FED"/>
    <w:rsid w:val="006A267C"/>
    <w:rsid w:val="006A2BAA"/>
    <w:rsid w:val="006B579D"/>
    <w:rsid w:val="006D4CAD"/>
    <w:rsid w:val="006F160D"/>
    <w:rsid w:val="00704838"/>
    <w:rsid w:val="007114A1"/>
    <w:rsid w:val="00712FD2"/>
    <w:rsid w:val="00714987"/>
    <w:rsid w:val="007268A2"/>
    <w:rsid w:val="0073361D"/>
    <w:rsid w:val="007555D7"/>
    <w:rsid w:val="00785C5C"/>
    <w:rsid w:val="007A052F"/>
    <w:rsid w:val="007A775C"/>
    <w:rsid w:val="007B0EF9"/>
    <w:rsid w:val="007B5CA6"/>
    <w:rsid w:val="007D0E75"/>
    <w:rsid w:val="007D0E8D"/>
    <w:rsid w:val="007F1A9A"/>
    <w:rsid w:val="008006DE"/>
    <w:rsid w:val="008100A7"/>
    <w:rsid w:val="00824FCF"/>
    <w:rsid w:val="008303F9"/>
    <w:rsid w:val="008307E7"/>
    <w:rsid w:val="00844302"/>
    <w:rsid w:val="00844A8E"/>
    <w:rsid w:val="00857FBD"/>
    <w:rsid w:val="00867D69"/>
    <w:rsid w:val="00870423"/>
    <w:rsid w:val="00872F4B"/>
    <w:rsid w:val="00877C59"/>
    <w:rsid w:val="00883F84"/>
    <w:rsid w:val="00887233"/>
    <w:rsid w:val="008A6ED8"/>
    <w:rsid w:val="008B144C"/>
    <w:rsid w:val="008C6C95"/>
    <w:rsid w:val="008E6BA4"/>
    <w:rsid w:val="008F5176"/>
    <w:rsid w:val="008F7841"/>
    <w:rsid w:val="008F792C"/>
    <w:rsid w:val="009004FF"/>
    <w:rsid w:val="00905552"/>
    <w:rsid w:val="00914519"/>
    <w:rsid w:val="00915C93"/>
    <w:rsid w:val="009208B3"/>
    <w:rsid w:val="00942E11"/>
    <w:rsid w:val="0095662F"/>
    <w:rsid w:val="009566AB"/>
    <w:rsid w:val="00961552"/>
    <w:rsid w:val="009673BD"/>
    <w:rsid w:val="00967549"/>
    <w:rsid w:val="00973303"/>
    <w:rsid w:val="00985768"/>
    <w:rsid w:val="0099681C"/>
    <w:rsid w:val="009B1717"/>
    <w:rsid w:val="009B20B8"/>
    <w:rsid w:val="009C6E56"/>
    <w:rsid w:val="009D015D"/>
    <w:rsid w:val="009D7DD8"/>
    <w:rsid w:val="009E1656"/>
    <w:rsid w:val="009E6F1B"/>
    <w:rsid w:val="009E7AD6"/>
    <w:rsid w:val="009E7E61"/>
    <w:rsid w:val="009F2094"/>
    <w:rsid w:val="009F6E69"/>
    <w:rsid w:val="009F707A"/>
    <w:rsid w:val="00A12AD5"/>
    <w:rsid w:val="00A15AD2"/>
    <w:rsid w:val="00A3176F"/>
    <w:rsid w:val="00A56C96"/>
    <w:rsid w:val="00A611A4"/>
    <w:rsid w:val="00A7651B"/>
    <w:rsid w:val="00A815C6"/>
    <w:rsid w:val="00A85BF0"/>
    <w:rsid w:val="00A91FD0"/>
    <w:rsid w:val="00AA4189"/>
    <w:rsid w:val="00AB3BED"/>
    <w:rsid w:val="00AC3F7F"/>
    <w:rsid w:val="00AD5BE6"/>
    <w:rsid w:val="00B053CC"/>
    <w:rsid w:val="00B07F47"/>
    <w:rsid w:val="00B07FC9"/>
    <w:rsid w:val="00B2666E"/>
    <w:rsid w:val="00B43E0B"/>
    <w:rsid w:val="00B460A2"/>
    <w:rsid w:val="00B64029"/>
    <w:rsid w:val="00B66656"/>
    <w:rsid w:val="00B76A4A"/>
    <w:rsid w:val="00B80A36"/>
    <w:rsid w:val="00B903F4"/>
    <w:rsid w:val="00B961E8"/>
    <w:rsid w:val="00B97269"/>
    <w:rsid w:val="00BB557D"/>
    <w:rsid w:val="00BC323B"/>
    <w:rsid w:val="00BC5476"/>
    <w:rsid w:val="00BD1E90"/>
    <w:rsid w:val="00BE13AB"/>
    <w:rsid w:val="00BE3CF6"/>
    <w:rsid w:val="00BE7928"/>
    <w:rsid w:val="00C01FC0"/>
    <w:rsid w:val="00C241F9"/>
    <w:rsid w:val="00C2525B"/>
    <w:rsid w:val="00C45DE9"/>
    <w:rsid w:val="00C541C8"/>
    <w:rsid w:val="00C568C8"/>
    <w:rsid w:val="00C64709"/>
    <w:rsid w:val="00C7559D"/>
    <w:rsid w:val="00C803CA"/>
    <w:rsid w:val="00C810B9"/>
    <w:rsid w:val="00C87409"/>
    <w:rsid w:val="00C92596"/>
    <w:rsid w:val="00C93905"/>
    <w:rsid w:val="00C94B1F"/>
    <w:rsid w:val="00C95334"/>
    <w:rsid w:val="00CA6209"/>
    <w:rsid w:val="00CD4160"/>
    <w:rsid w:val="00CE00C4"/>
    <w:rsid w:val="00CE0D5F"/>
    <w:rsid w:val="00CE4604"/>
    <w:rsid w:val="00CF1668"/>
    <w:rsid w:val="00D028AC"/>
    <w:rsid w:val="00D06D1F"/>
    <w:rsid w:val="00D10589"/>
    <w:rsid w:val="00D16EBA"/>
    <w:rsid w:val="00D17A40"/>
    <w:rsid w:val="00D62982"/>
    <w:rsid w:val="00D64AC9"/>
    <w:rsid w:val="00D65FE2"/>
    <w:rsid w:val="00D70472"/>
    <w:rsid w:val="00D70C71"/>
    <w:rsid w:val="00D7424A"/>
    <w:rsid w:val="00D81D5A"/>
    <w:rsid w:val="00DA304E"/>
    <w:rsid w:val="00DB0FE1"/>
    <w:rsid w:val="00DB49E5"/>
    <w:rsid w:val="00DB6E92"/>
    <w:rsid w:val="00DD3A10"/>
    <w:rsid w:val="00DE14C2"/>
    <w:rsid w:val="00DE2061"/>
    <w:rsid w:val="00DE5F56"/>
    <w:rsid w:val="00DF3484"/>
    <w:rsid w:val="00E05B56"/>
    <w:rsid w:val="00E078B0"/>
    <w:rsid w:val="00E1443D"/>
    <w:rsid w:val="00E2001B"/>
    <w:rsid w:val="00E37324"/>
    <w:rsid w:val="00E56792"/>
    <w:rsid w:val="00E828C9"/>
    <w:rsid w:val="00E842F3"/>
    <w:rsid w:val="00E84580"/>
    <w:rsid w:val="00E879AA"/>
    <w:rsid w:val="00E87EF2"/>
    <w:rsid w:val="00E90000"/>
    <w:rsid w:val="00E9549C"/>
    <w:rsid w:val="00E96143"/>
    <w:rsid w:val="00E96542"/>
    <w:rsid w:val="00EA2B4B"/>
    <w:rsid w:val="00EA5843"/>
    <w:rsid w:val="00EA6F77"/>
    <w:rsid w:val="00EB10AB"/>
    <w:rsid w:val="00EC01BC"/>
    <w:rsid w:val="00EC1923"/>
    <w:rsid w:val="00EC1E9F"/>
    <w:rsid w:val="00EC4319"/>
    <w:rsid w:val="00EC7046"/>
    <w:rsid w:val="00ED6B42"/>
    <w:rsid w:val="00ED7195"/>
    <w:rsid w:val="00EE039D"/>
    <w:rsid w:val="00EF3B6A"/>
    <w:rsid w:val="00F05096"/>
    <w:rsid w:val="00F066BA"/>
    <w:rsid w:val="00F1559A"/>
    <w:rsid w:val="00F20104"/>
    <w:rsid w:val="00F20301"/>
    <w:rsid w:val="00F20656"/>
    <w:rsid w:val="00F26D25"/>
    <w:rsid w:val="00F463FC"/>
    <w:rsid w:val="00F57BF9"/>
    <w:rsid w:val="00F6779B"/>
    <w:rsid w:val="00F77FBA"/>
    <w:rsid w:val="00F843DF"/>
    <w:rsid w:val="00F97CAB"/>
    <w:rsid w:val="00FA7256"/>
    <w:rsid w:val="00FB2A9F"/>
    <w:rsid w:val="00FB7A26"/>
    <w:rsid w:val="00FC5969"/>
    <w:rsid w:val="00FD2E49"/>
    <w:rsid w:val="00FD6B48"/>
    <w:rsid w:val="00FE5FCF"/>
    <w:rsid w:val="00FF38BF"/>
    <w:rsid w:val="02334186"/>
    <w:rsid w:val="04683BDD"/>
    <w:rsid w:val="049852B9"/>
    <w:rsid w:val="0529680C"/>
    <w:rsid w:val="07824687"/>
    <w:rsid w:val="07EC5A78"/>
    <w:rsid w:val="09851A9B"/>
    <w:rsid w:val="0BE8631C"/>
    <w:rsid w:val="0CB82DDC"/>
    <w:rsid w:val="0CDB1CC2"/>
    <w:rsid w:val="0D3F3DE4"/>
    <w:rsid w:val="0D546F26"/>
    <w:rsid w:val="0E200E90"/>
    <w:rsid w:val="115C588B"/>
    <w:rsid w:val="11D56308"/>
    <w:rsid w:val="13CC0489"/>
    <w:rsid w:val="14ED13D8"/>
    <w:rsid w:val="157334BA"/>
    <w:rsid w:val="15881014"/>
    <w:rsid w:val="168978EF"/>
    <w:rsid w:val="177E7E33"/>
    <w:rsid w:val="17B651D9"/>
    <w:rsid w:val="180239EB"/>
    <w:rsid w:val="18125B1E"/>
    <w:rsid w:val="18E5319C"/>
    <w:rsid w:val="19757A32"/>
    <w:rsid w:val="19E21AC5"/>
    <w:rsid w:val="1AC84EB6"/>
    <w:rsid w:val="1B2F1857"/>
    <w:rsid w:val="1C4106B2"/>
    <w:rsid w:val="1E8F3780"/>
    <w:rsid w:val="1F0C14DF"/>
    <w:rsid w:val="20625C61"/>
    <w:rsid w:val="21E30E32"/>
    <w:rsid w:val="23510E4A"/>
    <w:rsid w:val="279A6046"/>
    <w:rsid w:val="28AA58D2"/>
    <w:rsid w:val="29511320"/>
    <w:rsid w:val="29A83F77"/>
    <w:rsid w:val="2A5535C3"/>
    <w:rsid w:val="2C253377"/>
    <w:rsid w:val="2C275749"/>
    <w:rsid w:val="2C4A3FCA"/>
    <w:rsid w:val="310B2C35"/>
    <w:rsid w:val="32712269"/>
    <w:rsid w:val="345A01E8"/>
    <w:rsid w:val="355D7234"/>
    <w:rsid w:val="361F4B14"/>
    <w:rsid w:val="36225965"/>
    <w:rsid w:val="3808008B"/>
    <w:rsid w:val="38C72D8C"/>
    <w:rsid w:val="3AC434E7"/>
    <w:rsid w:val="3B1F1514"/>
    <w:rsid w:val="3CE755E9"/>
    <w:rsid w:val="3E1E345D"/>
    <w:rsid w:val="3EA86B85"/>
    <w:rsid w:val="3FEE71F6"/>
    <w:rsid w:val="41BB78E4"/>
    <w:rsid w:val="43F542B1"/>
    <w:rsid w:val="471A3CCF"/>
    <w:rsid w:val="4C904349"/>
    <w:rsid w:val="4D8F6077"/>
    <w:rsid w:val="4F7030C3"/>
    <w:rsid w:val="534C4362"/>
    <w:rsid w:val="53A71945"/>
    <w:rsid w:val="55B909DE"/>
    <w:rsid w:val="5A5D02DA"/>
    <w:rsid w:val="5CAC771E"/>
    <w:rsid w:val="5D1B0BC0"/>
    <w:rsid w:val="5E903CCB"/>
    <w:rsid w:val="5F0B1A5E"/>
    <w:rsid w:val="61971D5B"/>
    <w:rsid w:val="623633C8"/>
    <w:rsid w:val="63A239F3"/>
    <w:rsid w:val="657E5CB7"/>
    <w:rsid w:val="669A59B7"/>
    <w:rsid w:val="66CF2E66"/>
    <w:rsid w:val="66DA3FCA"/>
    <w:rsid w:val="684D3233"/>
    <w:rsid w:val="6DB60883"/>
    <w:rsid w:val="6E0F4DA5"/>
    <w:rsid w:val="6E811975"/>
    <w:rsid w:val="6F2146BD"/>
    <w:rsid w:val="704F19E8"/>
    <w:rsid w:val="72C45DAE"/>
    <w:rsid w:val="73AA3CC0"/>
    <w:rsid w:val="74780A2A"/>
    <w:rsid w:val="76590C4B"/>
    <w:rsid w:val="76A91813"/>
    <w:rsid w:val="77022837"/>
    <w:rsid w:val="77FD258D"/>
    <w:rsid w:val="79011E12"/>
    <w:rsid w:val="7B5E06DC"/>
    <w:rsid w:val="7C1336DF"/>
    <w:rsid w:val="7C926B48"/>
    <w:rsid w:val="F3FD1A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2"/>
    <w:semiHidden/>
    <w:qFormat/>
    <w:uiPriority w:val="0"/>
    <w:pPr>
      <w:suppressAutoHyphens/>
      <w:spacing w:after="120"/>
      <w:jc w:val="left"/>
    </w:pPr>
    <w:rPr>
      <w:rFonts w:ascii="Times" w:hAnsi="Times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9"/>
    <w:unhideWhenUsed/>
    <w:qFormat/>
    <w:uiPriority w:val="99"/>
    <w:rPr>
      <w:rFonts w:ascii="Times New Roman" w:hAnsi="Times New Roman"/>
      <w:kern w:val="0"/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9"/>
    <w:semiHidden/>
    <w:qFormat/>
    <w:uiPriority w:val="99"/>
    <w:rPr>
      <w:sz w:val="18"/>
      <w:szCs w:val="18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apple-converted-space"/>
    <w:qFormat/>
    <w:uiPriority w:val="0"/>
  </w:style>
  <w:style w:type="character" w:customStyle="1" w:styleId="19">
    <w:name w:val="批注框文本 Char"/>
    <w:link w:val="7"/>
    <w:semiHidden/>
    <w:qFormat/>
    <w:uiPriority w:val="99"/>
    <w:rPr>
      <w:sz w:val="18"/>
      <w:szCs w:val="18"/>
    </w:rPr>
  </w:style>
  <w:style w:type="character" w:customStyle="1" w:styleId="20">
    <w:name w:val="页脚 Char"/>
    <w:link w:val="8"/>
    <w:qFormat/>
    <w:uiPriority w:val="99"/>
    <w:rPr>
      <w:sz w:val="18"/>
      <w:szCs w:val="18"/>
    </w:rPr>
  </w:style>
  <w:style w:type="character" w:customStyle="1" w:styleId="21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2">
    <w:name w:val="正文文本 Char"/>
    <w:link w:val="5"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character" w:customStyle="1" w:styleId="23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/>
      <w:kern w:val="1"/>
      <w:sz w:val="28"/>
      <w:szCs w:val="24"/>
    </w:rPr>
  </w:style>
  <w:style w:type="paragraph" w:customStyle="1" w:styleId="26">
    <w:name w:val="列出段落2"/>
    <w:basedOn w:val="1"/>
    <w:qFormat/>
    <w:uiPriority w:val="34"/>
  </w:style>
  <w:style w:type="paragraph" w:customStyle="1" w:styleId="27">
    <w:name w:val="标题 31"/>
    <w:basedOn w:val="1"/>
    <w:qFormat/>
    <w:uiPriority w:val="1"/>
    <w:pPr>
      <w:ind w:left="803"/>
      <w:outlineLvl w:val="3"/>
    </w:pPr>
    <w:rPr>
      <w:rFonts w:ascii="微软雅黑" w:hAnsi="微软雅黑" w:eastAsia="微软雅黑"/>
      <w:b/>
      <w:bCs/>
      <w:sz w:val="24"/>
      <w:szCs w:val="24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9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0">
    <w:name w:val="标题 11"/>
    <w:basedOn w:val="1"/>
    <w:qFormat/>
    <w:uiPriority w:val="1"/>
    <w:pPr>
      <w:ind w:left="1359"/>
      <w:outlineLvl w:val="1"/>
    </w:pPr>
    <w:rPr>
      <w:rFonts w:ascii="宋体" w:hAnsi="宋体"/>
      <w:sz w:val="28"/>
      <w:szCs w:val="28"/>
    </w:rPr>
  </w:style>
  <w:style w:type="paragraph" w:customStyle="1" w:styleId="31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Table Paragraph"/>
    <w:basedOn w:val="1"/>
    <w:qFormat/>
    <w:uiPriority w:val="1"/>
  </w:style>
  <w:style w:type="table" w:customStyle="1" w:styleId="33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4">
    <w:name w:val="列出段落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739</Words>
  <Characters>4218</Characters>
  <Lines>35</Lines>
  <Paragraphs>9</Paragraphs>
  <TotalTime>3</TotalTime>
  <ScaleCrop>false</ScaleCrop>
  <LinksUpToDate>false</LinksUpToDate>
  <CharactersWithSpaces>4948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2017-06-12T21:55:00Z</dcterms:created>
  <dc:creator>Chemins</dc:creator>
  <cp:lastModifiedBy>停在空中的跳投</cp:lastModifiedBy>
  <cp:lastPrinted>2020-08-12T22:07:00Z</cp:lastPrinted>
  <dcterms:modified xsi:type="dcterms:W3CDTF">2024-01-02T07:36:58Z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9D70542B91184024A09179E044A5C021</vt:lpwstr>
  </property>
</Properties>
</file>