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CLI-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406-S</w:t>
      </w:r>
      <w:r>
        <w:rPr>
          <w:rFonts w:ascii="Times New Roman" w:hAnsi="Times New Roman" w:eastAsia="宋体" w:cs="Times New Roman"/>
          <w:b/>
          <w:sz w:val="52"/>
          <w:szCs w:val="52"/>
        </w:rPr>
        <w:t>在线氯离子传感器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pStyle w:val="14"/>
        <w:widowControl/>
        <w:spacing w:beforeAutospacing="0" w:afterAutospacing="0"/>
        <w:jc w:val="center"/>
      </w:pPr>
      <w:r>
        <w:drawing>
          <wp:inline distT="0" distB="0" distL="114300" distR="114300">
            <wp:extent cx="1238250" cy="4337050"/>
            <wp:effectExtent l="0" t="0" r="6350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pStyle w:val="30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30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30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3" name="图片 3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2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31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"_Toc498528209"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_Toc498528209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"_Toc498528210"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"_Toc498528211"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"_Toc498528212"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"_Toc498528213"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"_Toc498528214"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"_Toc498528215"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"_Toc498528216"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"_Toc498528217"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"_Toc498528218"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"_Toc498528219"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_Toc498528219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"_Toc498528220"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_Toc498528220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Style w:val="18"/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_Toc498528221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"_Toc498528222"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_Toc498528222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9736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"_Toc498528223"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附录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_Toc498528223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498528209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30"/>
        <w:ind w:firstLine="436" w:firstLineChars="182"/>
      </w:pPr>
      <w:r>
        <w:rPr>
          <w:rFonts w:eastAsia="宋体"/>
        </w:rPr>
        <w:t>CLI-</w:t>
      </w:r>
      <w:r>
        <w:rPr>
          <w:rFonts w:hint="eastAsia" w:eastAsia="宋体"/>
        </w:rPr>
        <w:t>406-S</w:t>
      </w:r>
      <w:r>
        <w:t>一体式在线氯离子传感器采用的是一种固体膜的离子选择性电极，用于测试水中游离的氯离子，能够做到快速、简单、精确和经济。本说明书中详细介绍了氯离子传感器的技术参数、通讯协议和使用维护等内容。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t>4-20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mA电流输出</w:t>
      </w:r>
      <w:r>
        <w:rPr>
          <w:rFonts w:hint="eastAsia"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专利的氯离子电极，内部参比液在至少100KPa（1Bar）的压力下，极其缓慢的从微孔盐桥中渗出。这样的参比系统非常稳定，电极寿命比普通工业电极寿命更长。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NPT螺纹，便于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投入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498528210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498528211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6"/>
        <w:tblpPr w:leftFromText="180" w:rightFromText="180" w:vertAnchor="text" w:tblpXSpec="center" w:tblpY="1"/>
        <w:tblOverlap w:val="never"/>
        <w:tblW w:w="74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CLI-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-S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离子选择法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0~3500.0 mg/L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0~35000 mg/L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±5%；±0.3℃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  <w:t>＜60s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  <w:t>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  <w:lang w:val="en-US" w:eastAsia="zh-CN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4-20 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pH：2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入式安装，3/4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/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" w:name="_Toc498528212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81345" cy="2195830"/>
            <wp:effectExtent l="0" t="0" r="1460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62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50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498528213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498528214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498528215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/>
          <w:sz w:val="24"/>
        </w:rPr>
      </w:pPr>
      <w:bookmarkStart w:id="10" w:name="_Toc496261164"/>
      <w:bookmarkStart w:id="11" w:name="_Toc494377400"/>
      <w:bookmarkStart w:id="12" w:name="_Toc498528216"/>
      <w:r>
        <w:rPr>
          <w:rFonts w:ascii="Times New Roman" w:hAnsi="Times New Roman"/>
          <w:sz w:val="24"/>
        </w:rPr>
        <w:t>线缆为5芯屏蔽线，线序定义：</w:t>
      </w:r>
    </w:p>
    <w:p>
      <w:pPr>
        <w:pStyle w:val="27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DC）</w:t>
      </w:r>
    </w:p>
    <w:p>
      <w:pPr>
        <w:pStyle w:val="27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7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绿</w:t>
      </w:r>
      <w:r>
        <w:rPr>
          <w:rFonts w:ascii="Times New Roman" w:hAnsi="Times New Roman"/>
          <w:sz w:val="24"/>
        </w:rPr>
        <w:t>色线—485B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7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7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="0" w:after="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496624043"/>
      <w:bookmarkStart w:id="14" w:name="_Toc498528217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将电极头部的保护帽去除。注意：不要用手指碰到电极膜头敏感部位。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电极使用前要保持干燥，电极的感应元件应该套入保护瓶中。在测试前，电极应在自来水中通电浸泡24小时。如果储存过夜或更长，则应用去离子水清洗电极头部，并擦干，然后放进原来的包装内。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检查接线端子处是否干燥，如有沾污，请用无水酒精擦拭，吹干后使用。应避免长期浸泡在蒸馏水或蛋白质溶液中，并防止与有机硅油脂接触。电极使用时间较长，出现测量误差时，须配合仪表进行校正。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当用以上方式对电极进行维护和保养后仍不能进行标定和测量时，说明电极已经失效，请更换电极。</w:t>
      </w:r>
    </w:p>
    <w:p>
      <w:pPr>
        <w:widowControl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干扰离子：硫离子、碘离子、溴离子等。</w:t>
      </w:r>
    </w:p>
    <w:p>
      <w:pPr>
        <w:pStyle w:val="4"/>
        <w:numPr>
          <w:ilvl w:val="0"/>
          <w:numId w:val="7"/>
        </w:numPr>
        <w:spacing w:before="0" w:after="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498528218"/>
      <w:bookmarkStart w:id="16" w:name="_Toc496251215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5"/>
      <w:bookmarkEnd w:id="16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5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将传感器放入零点标准溶液中，等待5分钟，待数值稳定后看显示的数值是否在误差范围内，如果不是则需进行零点校准。校准指令参照附录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</w:t>
      </w:r>
      <w:r>
        <w:rPr>
          <w:rFonts w:hint="eastAsia" w:ascii="Times New Roman" w:hAnsi="Times New Roman" w:eastAsia="宋体" w:cs="Times New Roman"/>
          <w:sz w:val="24"/>
          <w:szCs w:val="24"/>
        </w:rPr>
        <w:t>入</w:t>
      </w:r>
      <w:r>
        <w:rPr>
          <w:rFonts w:ascii="Times New Roman" w:hAnsi="Times New Roman" w:eastAsia="宋体" w:cs="Times New Roman"/>
          <w:sz w:val="24"/>
          <w:szCs w:val="24"/>
        </w:rPr>
        <w:t>斜率标准溶液中，等待5分钟，待数值稳定后看显示的数值是否在误差范围内，如果不是则需进行斜率校准。校准指令参照附录。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7" w:name="_Toc494117818"/>
      <w:bookmarkStart w:id="18" w:name="_Toc498528219"/>
      <w:bookmarkStart w:id="19" w:name="OLE_LINK11"/>
      <w:r>
        <w:rPr>
          <w:rFonts w:ascii="Times New Roman" w:hAnsi="Times New Roman" w:eastAsia="宋体" w:cs="Times New Roman"/>
        </w:rPr>
        <w:t>质量和服务</w:t>
      </w:r>
      <w:bookmarkEnd w:id="17"/>
      <w:bookmarkEnd w:id="18"/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0" w:name="_Toc492393682"/>
      <w:bookmarkStart w:id="21" w:name="_Toc498528220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0"/>
      <w:bookmarkEnd w:id="21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2" w:name="幻灯片编号_9"/>
      <w:bookmarkEnd w:id="22"/>
      <w:bookmarkStart w:id="23" w:name="_Toc498528221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3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线缆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0mg/L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或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0mg/L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（量程不同，浓度不同）</w:t>
      </w:r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_Toc452497954"/>
      <w:bookmarkStart w:id="25" w:name="_Toc498528222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4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5"/>
    </w:p>
    <w:bookmarkEnd w:id="19"/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Lines="100" w:afterLines="50" w:line="240" w:lineRule="auto"/>
        <w:rPr>
          <w:rFonts w:ascii="Times New Roman" w:hAnsi="Times New Roman" w:eastAsia="宋体" w:cs="Times New Roman"/>
        </w:rPr>
      </w:pPr>
      <w:bookmarkStart w:id="26" w:name="_Toc498528223"/>
      <w:r>
        <w:rPr>
          <w:rFonts w:ascii="Times New Roman" w:hAnsi="Times New Roman" w:eastAsia="宋体" w:cs="Times New Roman"/>
        </w:rPr>
        <w:t>附录 数据通讯</w:t>
      </w:r>
      <w:bookmarkEnd w:id="26"/>
    </w:p>
    <w:p>
      <w:pPr>
        <w:pStyle w:val="27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27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27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7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寄存器数量  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  字节数          应答数据   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 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 写入数据   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 寄存器地址        写入数据       CRC校验码（低字节在前）</w:t>
      </w:r>
    </w:p>
    <w:p>
      <w:pPr>
        <w:pStyle w:val="27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6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氯离子测量值+温度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4个双字节整数，分别为氯离子测量值、测量值小数位数、温度值、温度值小数位数。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量程为0～3500mg/L时需在100mg/L标准液中校准，写入数据为所用标准液浓度 x10的数值。读出的数据为零点校准值对应的mV值x100。量程为0～35000mg/L时须在1000mg/L标准液中校准写入数据为标准溶液实际值；读出的数据为零点校准值对应的mV值x100。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量程为0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3500mg/L时在1000mg/L标准液中校准，写入数据为标准溶液实际值x10；读出的数据为斜率校准值对应的mV值x100。量程为0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35000mg/l时须在10000mg/L标准液中校准，写入数据为标准液实际浓度值读出数据为实际斜率值（mv）x100。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76</w:t>
            </w:r>
            <w:r>
              <w:rPr>
                <w:rFonts w:ascii="Times New Roman" w:hAnsi="Times New Roman" w:eastAsia="宋体" w:cs="Times New Roman"/>
                <w:sz w:val="24"/>
              </w:rPr>
              <w:t>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7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32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作用：获取氯离子传感器的测量数值和温度；氯离子的单位为mg/L；温度的单位为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2"/>
        <w:ind w:left="42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03 00 00 00 04 4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D4</w:t>
      </w:r>
    </w:p>
    <w:p>
      <w:pPr>
        <w:pStyle w:val="32"/>
        <w:ind w:left="42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03 08 00 55 00 00 01 18 00 01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BE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84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5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32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氯离子值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32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32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00 55 00 00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32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32"/>
        <w:spacing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如：氯离子数值：00 55 表示十六进制读数氯离子数值，00 00 表示氯离子数值带零位小数,转换成十进制数值为85。</w:t>
      </w:r>
    </w:p>
    <w:p>
      <w:pPr>
        <w:pStyle w:val="32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温度数值：01 18 表示十六进制读数温度数值，00 01表示温度数值带一位小数，转换成十进制数值为28.0。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2"/>
        <w:ind w:left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零点校准</w:t>
      </w:r>
    </w:p>
    <w:p>
      <w:pPr>
        <w:pStyle w:val="32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作用：设定氯离子传感器的零点校准值。在100mg/L的标准液中校准，示例如下：</w:t>
      </w:r>
    </w:p>
    <w:p>
      <w:pPr>
        <w:pStyle w:val="32"/>
        <w:ind w:left="42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4C </w:t>
      </w:r>
      <w:r>
        <w:rPr>
          <w:rFonts w:ascii="Times New Roman" w:hAnsi="Times New Roman" w:eastAsia="宋体" w:cs="Times New Roman"/>
          <w:sz w:val="24"/>
          <w:szCs w:val="24"/>
        </w:rPr>
        <w:t xml:space="preserve">06 10 00 03 E8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82 69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4C </w:t>
      </w:r>
      <w:r>
        <w:rPr>
          <w:rFonts w:ascii="Times New Roman" w:hAnsi="Times New Roman" w:eastAsia="宋体" w:cs="Times New Roman"/>
          <w:sz w:val="24"/>
          <w:szCs w:val="24"/>
        </w:rPr>
        <w:t xml:space="preserve">06 10 00 03 E8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82 69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在1000mg/L的标准液中校准，示例如下：</w:t>
      </w:r>
    </w:p>
    <w:p>
      <w:pPr>
        <w:pStyle w:val="32"/>
        <w:ind w:left="42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03 E8 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69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03 E8 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69</w:t>
      </w:r>
    </w:p>
    <w:p>
      <w:pPr>
        <w:pStyle w:val="32"/>
        <w:ind w:left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斜率校准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作用：设定氯离子传感器的斜率校准值。在1000mg/L的标准液中校准，示例如下：</w:t>
      </w:r>
    </w:p>
    <w:p>
      <w:pPr>
        <w:pStyle w:val="27"/>
        <w:ind w:firstLineChars="175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4C</w:t>
      </w:r>
      <w:r>
        <w:rPr>
          <w:rFonts w:ascii="Times New Roman" w:hAnsi="Times New Roman"/>
          <w:kern w:val="2"/>
          <w:sz w:val="24"/>
        </w:rPr>
        <w:t xml:space="preserve"> 06 10 04 27 10 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2A</w:t>
      </w:r>
    </w:p>
    <w:p>
      <w:pPr>
        <w:pStyle w:val="27"/>
        <w:suppressAutoHyphens w:val="0"/>
        <w:ind w:left="420" w:firstLine="0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4C</w:t>
      </w:r>
      <w:r>
        <w:rPr>
          <w:rFonts w:ascii="Times New Roman" w:hAnsi="Times New Roman"/>
          <w:kern w:val="2"/>
          <w:sz w:val="24"/>
        </w:rPr>
        <w:t xml:space="preserve"> 06 10 04 27 10 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2A</w:t>
      </w:r>
    </w:p>
    <w:p>
      <w:pPr>
        <w:pStyle w:val="27"/>
        <w:suppressAutoHyphens w:val="0"/>
        <w:ind w:left="420" w:firstLine="0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在10000mg/L的标准液中校准，示例如下：</w:t>
      </w:r>
    </w:p>
    <w:p>
      <w:pPr>
        <w:pStyle w:val="27"/>
        <w:ind w:firstLineChars="175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4C</w:t>
      </w:r>
      <w:r>
        <w:rPr>
          <w:rFonts w:ascii="Times New Roman" w:hAnsi="Times New Roman"/>
          <w:kern w:val="2"/>
          <w:sz w:val="24"/>
        </w:rPr>
        <w:t xml:space="preserve"> 06 10 04 27 10 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2A</w:t>
      </w:r>
    </w:p>
    <w:p>
      <w:pPr>
        <w:pStyle w:val="27"/>
        <w:suppressAutoHyphens w:val="0"/>
        <w:ind w:left="420" w:firstLine="0"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4C</w:t>
      </w:r>
      <w:r>
        <w:rPr>
          <w:rFonts w:ascii="Times New Roman" w:hAnsi="Times New Roman"/>
          <w:kern w:val="2"/>
          <w:sz w:val="24"/>
        </w:rPr>
        <w:t xml:space="preserve"> 06 10 04 27 10 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2A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76</w:t>
      </w:r>
      <w:r>
        <w:rPr>
          <w:rFonts w:ascii="Times New Roman" w:hAnsi="Times New Roman" w:eastAsia="宋体" w:cs="Times New Roman"/>
          <w:sz w:val="24"/>
          <w:szCs w:val="24"/>
        </w:rPr>
        <w:t>改为01，范例如下</w:t>
      </w:r>
    </w:p>
    <w:p>
      <w:pPr>
        <w:pStyle w:val="32"/>
        <w:ind w:left="42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20 02 00 01 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D7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4C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20 02 00 01 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D7</w:t>
      </w:r>
    </w:p>
    <w:p>
      <w:pPr>
        <w:pStyle w:val="27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5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7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25" w:firstLineChars="719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03 – 数据错</w:t>
      </w:r>
    </w:p>
    <w:p>
      <w:pPr>
        <w:pStyle w:val="27"/>
        <w:numPr>
          <w:ilvl w:val="0"/>
          <w:numId w:val="15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pStyle w:val="27"/>
        <w:suppressAutoHyphens w:val="0"/>
        <w:ind w:left="425" w:firstLine="0" w:firstLineChars="0"/>
        <w:rPr>
          <w:rFonts w:ascii="Times New Roman" w:hAnsi="Times New Roman"/>
          <w:sz w:val="24"/>
        </w:rPr>
      </w:pPr>
      <w:bookmarkStart w:id="28" w:name="_GoBack"/>
      <w:bookmarkEnd w:id="28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5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8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8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 xml:space="preserve">烟台凯米斯仪器有限公司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8"/>
        <w:rFonts w:hint="eastAsia"/>
      </w:rPr>
      <w:t>www.chemins-tech.com</w:t>
    </w:r>
    <w:r>
      <w:rPr>
        <w:rStyle w:val="18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3893"/>
        <w:tab w:val="clear" w:pos="4153"/>
        <w:tab w:val="clear" w:pos="8306"/>
      </w:tabs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-252730</wp:posOffset>
          </wp:positionV>
          <wp:extent cx="1699895" cy="404495"/>
          <wp:effectExtent l="19050" t="0" r="0" b="0"/>
          <wp:wrapNone/>
          <wp:docPr id="3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  <w:rPr>
        <w:rFonts w:hint="default" w:ascii="Times New Roman" w:hAnsi="Times New Roman" w:cs="Times New Roman"/>
      </w:rPr>
    </w:lvl>
  </w:abstractNum>
  <w:abstractNum w:abstractNumId="12">
    <w:nsid w:val="630E5C17"/>
    <w:multiLevelType w:val="singleLevel"/>
    <w:tmpl w:val="630E5C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YzYmFlN2Q5YzNhZjNhNDNjMGIwYjYwMjZjNmNiYjEifQ=="/>
  </w:docVars>
  <w:rsids>
    <w:rsidRoot w:val="005B7FF9"/>
    <w:rsid w:val="00001C04"/>
    <w:rsid w:val="00010489"/>
    <w:rsid w:val="0002274A"/>
    <w:rsid w:val="00035225"/>
    <w:rsid w:val="00045BA5"/>
    <w:rsid w:val="00046399"/>
    <w:rsid w:val="0007035C"/>
    <w:rsid w:val="00070477"/>
    <w:rsid w:val="000756DB"/>
    <w:rsid w:val="00077D75"/>
    <w:rsid w:val="00087405"/>
    <w:rsid w:val="00090D83"/>
    <w:rsid w:val="000A136B"/>
    <w:rsid w:val="000A18B4"/>
    <w:rsid w:val="000A35B5"/>
    <w:rsid w:val="000B4CAF"/>
    <w:rsid w:val="000C14E9"/>
    <w:rsid w:val="000D05CC"/>
    <w:rsid w:val="000D1730"/>
    <w:rsid w:val="000D70C8"/>
    <w:rsid w:val="000D75BC"/>
    <w:rsid w:val="000E38E3"/>
    <w:rsid w:val="000E39B0"/>
    <w:rsid w:val="000F2F75"/>
    <w:rsid w:val="00103528"/>
    <w:rsid w:val="001052E0"/>
    <w:rsid w:val="001151DD"/>
    <w:rsid w:val="001225D1"/>
    <w:rsid w:val="00134A9E"/>
    <w:rsid w:val="0013679F"/>
    <w:rsid w:val="00141E17"/>
    <w:rsid w:val="00147C14"/>
    <w:rsid w:val="00186874"/>
    <w:rsid w:val="00192FC3"/>
    <w:rsid w:val="00193037"/>
    <w:rsid w:val="00194493"/>
    <w:rsid w:val="001A4BFA"/>
    <w:rsid w:val="001A5F7F"/>
    <w:rsid w:val="001A7DC9"/>
    <w:rsid w:val="001B4E4D"/>
    <w:rsid w:val="001B60EB"/>
    <w:rsid w:val="001D70EF"/>
    <w:rsid w:val="001E3BB6"/>
    <w:rsid w:val="001E5089"/>
    <w:rsid w:val="00203B40"/>
    <w:rsid w:val="002048CB"/>
    <w:rsid w:val="00221C8A"/>
    <w:rsid w:val="00222BB7"/>
    <w:rsid w:val="00222E8A"/>
    <w:rsid w:val="00242E96"/>
    <w:rsid w:val="00250BA6"/>
    <w:rsid w:val="00251233"/>
    <w:rsid w:val="002514CF"/>
    <w:rsid w:val="00267C64"/>
    <w:rsid w:val="002710FD"/>
    <w:rsid w:val="00271853"/>
    <w:rsid w:val="00271F9B"/>
    <w:rsid w:val="00274962"/>
    <w:rsid w:val="002773EE"/>
    <w:rsid w:val="00287EA1"/>
    <w:rsid w:val="002919FA"/>
    <w:rsid w:val="002A35E8"/>
    <w:rsid w:val="002A38C0"/>
    <w:rsid w:val="002D0460"/>
    <w:rsid w:val="002E3A14"/>
    <w:rsid w:val="002F582E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41BA"/>
    <w:rsid w:val="003804A9"/>
    <w:rsid w:val="00393D52"/>
    <w:rsid w:val="003955E6"/>
    <w:rsid w:val="003A4BB0"/>
    <w:rsid w:val="003A4CEE"/>
    <w:rsid w:val="003B698B"/>
    <w:rsid w:val="003B7E5E"/>
    <w:rsid w:val="003D2CE1"/>
    <w:rsid w:val="003D41C2"/>
    <w:rsid w:val="003D5D11"/>
    <w:rsid w:val="003F293B"/>
    <w:rsid w:val="00404A1A"/>
    <w:rsid w:val="0040555B"/>
    <w:rsid w:val="00410763"/>
    <w:rsid w:val="00412AAF"/>
    <w:rsid w:val="00420624"/>
    <w:rsid w:val="0042157D"/>
    <w:rsid w:val="00426FE9"/>
    <w:rsid w:val="00435D00"/>
    <w:rsid w:val="004369AE"/>
    <w:rsid w:val="00444325"/>
    <w:rsid w:val="00444CCE"/>
    <w:rsid w:val="00455706"/>
    <w:rsid w:val="004623A4"/>
    <w:rsid w:val="0046598B"/>
    <w:rsid w:val="004674FE"/>
    <w:rsid w:val="00467500"/>
    <w:rsid w:val="00473AC5"/>
    <w:rsid w:val="00480FF7"/>
    <w:rsid w:val="004819B1"/>
    <w:rsid w:val="00483880"/>
    <w:rsid w:val="00484C3D"/>
    <w:rsid w:val="00486B6F"/>
    <w:rsid w:val="004876B5"/>
    <w:rsid w:val="00487EEB"/>
    <w:rsid w:val="00495F7C"/>
    <w:rsid w:val="004A43E3"/>
    <w:rsid w:val="004A5C7B"/>
    <w:rsid w:val="004A735C"/>
    <w:rsid w:val="004B484F"/>
    <w:rsid w:val="004B6509"/>
    <w:rsid w:val="004B7EB4"/>
    <w:rsid w:val="004C0F8D"/>
    <w:rsid w:val="004C6205"/>
    <w:rsid w:val="004C7ED5"/>
    <w:rsid w:val="004D5FB6"/>
    <w:rsid w:val="004E2055"/>
    <w:rsid w:val="004E3BC1"/>
    <w:rsid w:val="004E3DC9"/>
    <w:rsid w:val="004E49B2"/>
    <w:rsid w:val="004E4FE0"/>
    <w:rsid w:val="004E5A6F"/>
    <w:rsid w:val="004F1483"/>
    <w:rsid w:val="004F54C8"/>
    <w:rsid w:val="004F58C8"/>
    <w:rsid w:val="005005FD"/>
    <w:rsid w:val="005073E6"/>
    <w:rsid w:val="00514182"/>
    <w:rsid w:val="0051585B"/>
    <w:rsid w:val="00517742"/>
    <w:rsid w:val="00517CA7"/>
    <w:rsid w:val="00543E6B"/>
    <w:rsid w:val="00543F34"/>
    <w:rsid w:val="00547C98"/>
    <w:rsid w:val="00556A14"/>
    <w:rsid w:val="00565FC4"/>
    <w:rsid w:val="00567127"/>
    <w:rsid w:val="00567A0F"/>
    <w:rsid w:val="00573200"/>
    <w:rsid w:val="005749EA"/>
    <w:rsid w:val="00583179"/>
    <w:rsid w:val="00583EBF"/>
    <w:rsid w:val="00584D69"/>
    <w:rsid w:val="005932AB"/>
    <w:rsid w:val="00597331"/>
    <w:rsid w:val="00597DE2"/>
    <w:rsid w:val="005A2A40"/>
    <w:rsid w:val="005A603D"/>
    <w:rsid w:val="005A62A5"/>
    <w:rsid w:val="005B7FF9"/>
    <w:rsid w:val="005D2D2E"/>
    <w:rsid w:val="005F0EF1"/>
    <w:rsid w:val="006022C5"/>
    <w:rsid w:val="00604479"/>
    <w:rsid w:val="00604BBB"/>
    <w:rsid w:val="00611824"/>
    <w:rsid w:val="00612512"/>
    <w:rsid w:val="00612599"/>
    <w:rsid w:val="006208DF"/>
    <w:rsid w:val="0062191B"/>
    <w:rsid w:val="00621FF6"/>
    <w:rsid w:val="00623C59"/>
    <w:rsid w:val="00624DD0"/>
    <w:rsid w:val="00630A3F"/>
    <w:rsid w:val="006326D8"/>
    <w:rsid w:val="006435F6"/>
    <w:rsid w:val="00656DAE"/>
    <w:rsid w:val="00661F4E"/>
    <w:rsid w:val="006663C7"/>
    <w:rsid w:val="00667988"/>
    <w:rsid w:val="00670FE4"/>
    <w:rsid w:val="00673B3D"/>
    <w:rsid w:val="006763B5"/>
    <w:rsid w:val="006817A1"/>
    <w:rsid w:val="006843D1"/>
    <w:rsid w:val="00691F39"/>
    <w:rsid w:val="00695461"/>
    <w:rsid w:val="00697D2A"/>
    <w:rsid w:val="006A0CCA"/>
    <w:rsid w:val="006A0FED"/>
    <w:rsid w:val="006A2862"/>
    <w:rsid w:val="006A7DBE"/>
    <w:rsid w:val="006B0296"/>
    <w:rsid w:val="006B1AA1"/>
    <w:rsid w:val="006B2AC9"/>
    <w:rsid w:val="006B516B"/>
    <w:rsid w:val="006B7201"/>
    <w:rsid w:val="006C64BB"/>
    <w:rsid w:val="006C7439"/>
    <w:rsid w:val="006D64BB"/>
    <w:rsid w:val="006D79C5"/>
    <w:rsid w:val="006E2D30"/>
    <w:rsid w:val="006E374F"/>
    <w:rsid w:val="006F4E52"/>
    <w:rsid w:val="00707887"/>
    <w:rsid w:val="007103DE"/>
    <w:rsid w:val="007109DF"/>
    <w:rsid w:val="00711DC4"/>
    <w:rsid w:val="00712FD2"/>
    <w:rsid w:val="00720E33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5B11"/>
    <w:rsid w:val="007B698D"/>
    <w:rsid w:val="007B70FD"/>
    <w:rsid w:val="007C4426"/>
    <w:rsid w:val="007C7BBD"/>
    <w:rsid w:val="007E11C7"/>
    <w:rsid w:val="007E34E7"/>
    <w:rsid w:val="007E6A04"/>
    <w:rsid w:val="007F5EB7"/>
    <w:rsid w:val="007F763D"/>
    <w:rsid w:val="0080581A"/>
    <w:rsid w:val="0080608D"/>
    <w:rsid w:val="00806BA3"/>
    <w:rsid w:val="00810E19"/>
    <w:rsid w:val="00815433"/>
    <w:rsid w:val="00824FCF"/>
    <w:rsid w:val="00825707"/>
    <w:rsid w:val="00832656"/>
    <w:rsid w:val="00832D5B"/>
    <w:rsid w:val="00833E2A"/>
    <w:rsid w:val="008361E7"/>
    <w:rsid w:val="008378C7"/>
    <w:rsid w:val="00844A8E"/>
    <w:rsid w:val="00852BEF"/>
    <w:rsid w:val="0085447F"/>
    <w:rsid w:val="00854758"/>
    <w:rsid w:val="00856199"/>
    <w:rsid w:val="00866901"/>
    <w:rsid w:val="00872ABD"/>
    <w:rsid w:val="00872F4B"/>
    <w:rsid w:val="00887AAB"/>
    <w:rsid w:val="008A0277"/>
    <w:rsid w:val="008A09D4"/>
    <w:rsid w:val="008A28CC"/>
    <w:rsid w:val="008A6ED8"/>
    <w:rsid w:val="008B280E"/>
    <w:rsid w:val="008B4BEB"/>
    <w:rsid w:val="008B7B6E"/>
    <w:rsid w:val="008C534F"/>
    <w:rsid w:val="008D7277"/>
    <w:rsid w:val="008E67E8"/>
    <w:rsid w:val="008F15DC"/>
    <w:rsid w:val="009004FF"/>
    <w:rsid w:val="00905552"/>
    <w:rsid w:val="009070AE"/>
    <w:rsid w:val="00911885"/>
    <w:rsid w:val="0091229D"/>
    <w:rsid w:val="00914519"/>
    <w:rsid w:val="00914749"/>
    <w:rsid w:val="00915C93"/>
    <w:rsid w:val="00917889"/>
    <w:rsid w:val="009208B3"/>
    <w:rsid w:val="00931414"/>
    <w:rsid w:val="009367D0"/>
    <w:rsid w:val="00941392"/>
    <w:rsid w:val="0094149B"/>
    <w:rsid w:val="00942E11"/>
    <w:rsid w:val="0094367F"/>
    <w:rsid w:val="00951491"/>
    <w:rsid w:val="0095662F"/>
    <w:rsid w:val="00977765"/>
    <w:rsid w:val="00977780"/>
    <w:rsid w:val="00977FC8"/>
    <w:rsid w:val="00987463"/>
    <w:rsid w:val="009916AF"/>
    <w:rsid w:val="009954B6"/>
    <w:rsid w:val="0099681C"/>
    <w:rsid w:val="009A0214"/>
    <w:rsid w:val="009A42CB"/>
    <w:rsid w:val="009A51C3"/>
    <w:rsid w:val="009C5727"/>
    <w:rsid w:val="009D5172"/>
    <w:rsid w:val="009D591C"/>
    <w:rsid w:val="009E179C"/>
    <w:rsid w:val="009E6F1B"/>
    <w:rsid w:val="009F7081"/>
    <w:rsid w:val="00A04823"/>
    <w:rsid w:val="00A11E8D"/>
    <w:rsid w:val="00A17949"/>
    <w:rsid w:val="00A21120"/>
    <w:rsid w:val="00A27BAE"/>
    <w:rsid w:val="00A332DD"/>
    <w:rsid w:val="00A42742"/>
    <w:rsid w:val="00A44428"/>
    <w:rsid w:val="00A4650D"/>
    <w:rsid w:val="00A51390"/>
    <w:rsid w:val="00A56467"/>
    <w:rsid w:val="00A637E3"/>
    <w:rsid w:val="00A71B4D"/>
    <w:rsid w:val="00A72E31"/>
    <w:rsid w:val="00A7500F"/>
    <w:rsid w:val="00A75568"/>
    <w:rsid w:val="00A777AC"/>
    <w:rsid w:val="00A815C6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442F"/>
    <w:rsid w:val="00B053CC"/>
    <w:rsid w:val="00B07F47"/>
    <w:rsid w:val="00B07FC9"/>
    <w:rsid w:val="00B24861"/>
    <w:rsid w:val="00B25F63"/>
    <w:rsid w:val="00B32EF5"/>
    <w:rsid w:val="00B3427D"/>
    <w:rsid w:val="00B359E7"/>
    <w:rsid w:val="00B418A4"/>
    <w:rsid w:val="00B41BDC"/>
    <w:rsid w:val="00B4388E"/>
    <w:rsid w:val="00B519C1"/>
    <w:rsid w:val="00B64029"/>
    <w:rsid w:val="00B6562B"/>
    <w:rsid w:val="00B66656"/>
    <w:rsid w:val="00B75A9C"/>
    <w:rsid w:val="00B961E8"/>
    <w:rsid w:val="00B97269"/>
    <w:rsid w:val="00BA1FEF"/>
    <w:rsid w:val="00BB02D3"/>
    <w:rsid w:val="00BB177A"/>
    <w:rsid w:val="00BB1A29"/>
    <w:rsid w:val="00BD7BEF"/>
    <w:rsid w:val="00C04219"/>
    <w:rsid w:val="00C077C4"/>
    <w:rsid w:val="00C25F75"/>
    <w:rsid w:val="00C3162B"/>
    <w:rsid w:val="00C359A6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654B8"/>
    <w:rsid w:val="00C817B1"/>
    <w:rsid w:val="00C823B4"/>
    <w:rsid w:val="00C82BF7"/>
    <w:rsid w:val="00C87409"/>
    <w:rsid w:val="00C92207"/>
    <w:rsid w:val="00C94B1F"/>
    <w:rsid w:val="00CA0697"/>
    <w:rsid w:val="00CA1758"/>
    <w:rsid w:val="00CA2A24"/>
    <w:rsid w:val="00CA5756"/>
    <w:rsid w:val="00CB5D80"/>
    <w:rsid w:val="00CB7EE5"/>
    <w:rsid w:val="00CC0159"/>
    <w:rsid w:val="00CD18FD"/>
    <w:rsid w:val="00CD3243"/>
    <w:rsid w:val="00CD3780"/>
    <w:rsid w:val="00CD4160"/>
    <w:rsid w:val="00CD4442"/>
    <w:rsid w:val="00CD49D2"/>
    <w:rsid w:val="00CE00C4"/>
    <w:rsid w:val="00CE1B5C"/>
    <w:rsid w:val="00CE4604"/>
    <w:rsid w:val="00CF1A44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46EA"/>
    <w:rsid w:val="00D5688A"/>
    <w:rsid w:val="00D62982"/>
    <w:rsid w:val="00D62E6E"/>
    <w:rsid w:val="00D64AC9"/>
    <w:rsid w:val="00D81D5A"/>
    <w:rsid w:val="00D851D0"/>
    <w:rsid w:val="00D866E3"/>
    <w:rsid w:val="00D86C6A"/>
    <w:rsid w:val="00D87A6D"/>
    <w:rsid w:val="00D90926"/>
    <w:rsid w:val="00DB49E5"/>
    <w:rsid w:val="00DD083C"/>
    <w:rsid w:val="00DD463E"/>
    <w:rsid w:val="00DE14C2"/>
    <w:rsid w:val="00DF0E99"/>
    <w:rsid w:val="00E1443D"/>
    <w:rsid w:val="00E17485"/>
    <w:rsid w:val="00E17D97"/>
    <w:rsid w:val="00E24F4B"/>
    <w:rsid w:val="00E255BB"/>
    <w:rsid w:val="00E25C2C"/>
    <w:rsid w:val="00E262A7"/>
    <w:rsid w:val="00E36C1B"/>
    <w:rsid w:val="00E44679"/>
    <w:rsid w:val="00E45DDB"/>
    <w:rsid w:val="00E47C1C"/>
    <w:rsid w:val="00E563A1"/>
    <w:rsid w:val="00E57B03"/>
    <w:rsid w:val="00E708BC"/>
    <w:rsid w:val="00E73D46"/>
    <w:rsid w:val="00E828C9"/>
    <w:rsid w:val="00E835D0"/>
    <w:rsid w:val="00E842F3"/>
    <w:rsid w:val="00E87642"/>
    <w:rsid w:val="00E879AA"/>
    <w:rsid w:val="00E90141"/>
    <w:rsid w:val="00E919B4"/>
    <w:rsid w:val="00E9567F"/>
    <w:rsid w:val="00E96542"/>
    <w:rsid w:val="00E966FB"/>
    <w:rsid w:val="00EA023C"/>
    <w:rsid w:val="00EA3599"/>
    <w:rsid w:val="00EA5843"/>
    <w:rsid w:val="00EA6F77"/>
    <w:rsid w:val="00EB0D16"/>
    <w:rsid w:val="00EC0C66"/>
    <w:rsid w:val="00EC1923"/>
    <w:rsid w:val="00ED2BAB"/>
    <w:rsid w:val="00EE039D"/>
    <w:rsid w:val="00EE0E43"/>
    <w:rsid w:val="00EF3B6A"/>
    <w:rsid w:val="00F02FAA"/>
    <w:rsid w:val="00F066BA"/>
    <w:rsid w:val="00F13657"/>
    <w:rsid w:val="00F1559A"/>
    <w:rsid w:val="00F16525"/>
    <w:rsid w:val="00F16853"/>
    <w:rsid w:val="00F20104"/>
    <w:rsid w:val="00F26189"/>
    <w:rsid w:val="00F26D25"/>
    <w:rsid w:val="00F615FA"/>
    <w:rsid w:val="00F63130"/>
    <w:rsid w:val="00F65E38"/>
    <w:rsid w:val="00F843DF"/>
    <w:rsid w:val="00F97CAB"/>
    <w:rsid w:val="00FA497D"/>
    <w:rsid w:val="00FA6B21"/>
    <w:rsid w:val="00FA7256"/>
    <w:rsid w:val="00FA7262"/>
    <w:rsid w:val="00FB2C97"/>
    <w:rsid w:val="00FD2E49"/>
    <w:rsid w:val="00FD3119"/>
    <w:rsid w:val="00FD3AF9"/>
    <w:rsid w:val="00FD4313"/>
    <w:rsid w:val="00FF38BF"/>
    <w:rsid w:val="01566212"/>
    <w:rsid w:val="03762B27"/>
    <w:rsid w:val="046017ED"/>
    <w:rsid w:val="04654F73"/>
    <w:rsid w:val="05834E72"/>
    <w:rsid w:val="07824687"/>
    <w:rsid w:val="07D21836"/>
    <w:rsid w:val="07EC5A78"/>
    <w:rsid w:val="08E70B1C"/>
    <w:rsid w:val="096518FC"/>
    <w:rsid w:val="11D510BF"/>
    <w:rsid w:val="123A47A4"/>
    <w:rsid w:val="13901C58"/>
    <w:rsid w:val="14474BD5"/>
    <w:rsid w:val="153656F6"/>
    <w:rsid w:val="159F7E62"/>
    <w:rsid w:val="17B651D9"/>
    <w:rsid w:val="18DB2AFE"/>
    <w:rsid w:val="195D4F15"/>
    <w:rsid w:val="1ADE7DEF"/>
    <w:rsid w:val="1D6527C8"/>
    <w:rsid w:val="1E8C55DE"/>
    <w:rsid w:val="1F0C14DF"/>
    <w:rsid w:val="20736D69"/>
    <w:rsid w:val="21A10E7E"/>
    <w:rsid w:val="21BB1BD3"/>
    <w:rsid w:val="238F43AA"/>
    <w:rsid w:val="243B7A6D"/>
    <w:rsid w:val="254473F1"/>
    <w:rsid w:val="255A3310"/>
    <w:rsid w:val="28033B5E"/>
    <w:rsid w:val="29300CF3"/>
    <w:rsid w:val="2A8F4CF8"/>
    <w:rsid w:val="2AE734BB"/>
    <w:rsid w:val="2B6A72C3"/>
    <w:rsid w:val="2C253377"/>
    <w:rsid w:val="2F71588F"/>
    <w:rsid w:val="2FE03CA3"/>
    <w:rsid w:val="30862203"/>
    <w:rsid w:val="31892082"/>
    <w:rsid w:val="363C4F59"/>
    <w:rsid w:val="3641541E"/>
    <w:rsid w:val="37CE1367"/>
    <w:rsid w:val="39282985"/>
    <w:rsid w:val="3ED44F40"/>
    <w:rsid w:val="403F45B4"/>
    <w:rsid w:val="41323445"/>
    <w:rsid w:val="41F41F86"/>
    <w:rsid w:val="45AE4BE7"/>
    <w:rsid w:val="47F70133"/>
    <w:rsid w:val="48617207"/>
    <w:rsid w:val="4927639B"/>
    <w:rsid w:val="4AA31A09"/>
    <w:rsid w:val="4BD81DA7"/>
    <w:rsid w:val="4CA7245A"/>
    <w:rsid w:val="4CE371E4"/>
    <w:rsid w:val="4CE473A6"/>
    <w:rsid w:val="4F813E10"/>
    <w:rsid w:val="5168136D"/>
    <w:rsid w:val="5342708B"/>
    <w:rsid w:val="53767712"/>
    <w:rsid w:val="57FA30CC"/>
    <w:rsid w:val="5F0F1C1B"/>
    <w:rsid w:val="638609AF"/>
    <w:rsid w:val="64593A7A"/>
    <w:rsid w:val="65E45841"/>
    <w:rsid w:val="66EA5D06"/>
    <w:rsid w:val="66FE1CE0"/>
    <w:rsid w:val="670426EC"/>
    <w:rsid w:val="67450E67"/>
    <w:rsid w:val="688E416D"/>
    <w:rsid w:val="691D1D7B"/>
    <w:rsid w:val="69EA6C06"/>
    <w:rsid w:val="6C641D25"/>
    <w:rsid w:val="6E0F4DA5"/>
    <w:rsid w:val="6E623FDB"/>
    <w:rsid w:val="6F05269C"/>
    <w:rsid w:val="703A358D"/>
    <w:rsid w:val="71CA6CB0"/>
    <w:rsid w:val="72BE36F8"/>
    <w:rsid w:val="755353EE"/>
    <w:rsid w:val="77902D70"/>
    <w:rsid w:val="78272164"/>
    <w:rsid w:val="784C2545"/>
    <w:rsid w:val="7A906CB8"/>
    <w:rsid w:val="7C49205B"/>
    <w:rsid w:val="7D87349B"/>
    <w:rsid w:val="7DE80B08"/>
    <w:rsid w:val="7E72527F"/>
    <w:rsid w:val="7E8E4CBD"/>
    <w:rsid w:val="7EDB52F9"/>
    <w:rsid w:val="BBEFA38E"/>
    <w:rsid w:val="DD77A1BB"/>
    <w:rsid w:val="FBEFC506"/>
    <w:rsid w:val="FF7FD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6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autoRedefine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9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unhideWhenUsed/>
    <w:qFormat/>
    <w:uiPriority w:val="39"/>
  </w:style>
  <w:style w:type="paragraph" w:styleId="13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autoRedefine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basedOn w:val="17"/>
    <w:autoRedefine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7"/>
    <w:link w:val="11"/>
    <w:autoRedefine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7"/>
    <w:link w:val="10"/>
    <w:autoRedefine/>
    <w:qFormat/>
    <w:uiPriority w:val="99"/>
    <w:rPr>
      <w:sz w:val="18"/>
      <w:szCs w:val="18"/>
    </w:rPr>
  </w:style>
  <w:style w:type="character" w:customStyle="1" w:styleId="22">
    <w:name w:val="批注框文本 Char"/>
    <w:basedOn w:val="17"/>
    <w:link w:val="9"/>
    <w:autoRedefine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7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7"/>
    <w:link w:val="4"/>
    <w:autoRedefine/>
    <w:qFormat/>
    <w:uiPriority w:val="9"/>
    <w:rPr>
      <w:b/>
      <w:bCs/>
      <w:sz w:val="32"/>
      <w:szCs w:val="32"/>
    </w:rPr>
  </w:style>
  <w:style w:type="character" w:customStyle="1" w:styleId="26">
    <w:name w:val="正文文本 Char"/>
    <w:basedOn w:val="17"/>
    <w:link w:val="6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7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8">
    <w:name w:val="apple-converted-space"/>
    <w:qFormat/>
    <w:uiPriority w:val="0"/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1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2">
    <w:name w:val="列出段落2"/>
    <w:basedOn w:val="1"/>
    <w:qFormat/>
    <w:uiPriority w:val="34"/>
  </w:style>
  <w:style w:type="paragraph" w:customStyle="1" w:styleId="33">
    <w:name w:val="Table Paragraph"/>
    <w:basedOn w:val="1"/>
    <w:qFormat/>
    <w:uiPriority w:val="1"/>
  </w:style>
  <w:style w:type="paragraph" w:customStyle="1" w:styleId="34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5">
    <w:name w:val="列出段落3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4F830A73-BE52-4C4B-86D3-AF17FC131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2856</Words>
  <Characters>3509</Characters>
  <Lines>36</Lines>
  <Paragraphs>10</Paragraphs>
  <TotalTime>8</TotalTime>
  <ScaleCrop>false</ScaleCrop>
  <LinksUpToDate>false</LinksUpToDate>
  <CharactersWithSpaces>3975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2016-06-29T05:08:00Z</dcterms:created>
  <dc:creator>Chemins</dc:creator>
  <cp:lastModifiedBy>prince</cp:lastModifiedBy>
  <cp:lastPrinted>2017-11-06T19:26:00Z</cp:lastPrinted>
  <dcterms:modified xsi:type="dcterms:W3CDTF">2024-01-03T08:35:47Z</dcterms:modified>
  <dc:title>NHN-202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125AA7F4FD984C908739A26DD1182EED_13</vt:lpwstr>
  </property>
</Properties>
</file>