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iPH-306在线</w:t>
      </w:r>
      <w:r>
        <w:rPr>
          <w:rFonts w:hint="eastAsia" w:ascii="Times New Roman" w:hAnsi="Times New Roman" w:eastAsia="宋体" w:cs="Times New Roman"/>
          <w:b/>
          <w:sz w:val="52"/>
          <w:szCs w:val="52"/>
        </w:rPr>
        <w:t>P</w:t>
      </w:r>
      <w:r>
        <w:rPr>
          <w:rFonts w:ascii="Times New Roman" w:hAnsi="Times New Roman" w:eastAsia="宋体" w:cs="Times New Roman"/>
          <w:b/>
          <w:sz w:val="52"/>
          <w:szCs w:val="52"/>
        </w:rPr>
        <w:t>H传感器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jc w:val="center"/>
      </w:pPr>
      <w:r>
        <w:drawing>
          <wp:inline distT="0" distB="0" distL="114300" distR="114300">
            <wp:extent cx="729615" cy="4470400"/>
            <wp:effectExtent l="0" t="0" r="1905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7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杭州凯米斯物联传感科技有限公司</w:t>
      </w:r>
    </w:p>
    <w:p>
      <w:pPr>
        <w:pStyle w:val="27"/>
        <w:spacing w:line="20" w:lineRule="atLeast"/>
        <w:ind w:left="73" w:leftChars="35" w:right="278" w:firstLine="198" w:firstLineChars="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电话：400-666-0325 </w:t>
      </w:r>
    </w:p>
    <w:p>
      <w:pPr>
        <w:pStyle w:val="27"/>
        <w:spacing w:line="20" w:lineRule="atLeast"/>
        <w:ind w:left="280" w:right="278" w:firstLine="560"/>
        <w:jc w:val="center"/>
        <w:rPr>
          <w:sz w:val="28"/>
          <w:szCs w:val="28"/>
        </w:rPr>
      </w:pPr>
      <w:r>
        <w:rPr>
          <w:sz w:val="28"/>
          <w:szCs w:val="28"/>
        </w:rPr>
        <w:t>邮箱：</w:t>
      </w:r>
      <w:r>
        <w:fldChar w:fldCharType="begin"/>
      </w:r>
      <w:r>
        <w:instrText xml:space="preserve">HYPERLINK "mailto:service@chemins-tech.com"</w:instrText>
      </w:r>
      <w:r>
        <w:fldChar w:fldCharType="separate"/>
      </w:r>
      <w:r>
        <w:rPr>
          <w:sz w:val="28"/>
          <w:szCs w:val="28"/>
        </w:rPr>
        <w:t>service@chemins-tech.com</w:t>
      </w:r>
      <w:r>
        <w:fldChar w:fldCharType="end"/>
      </w:r>
      <w:r>
        <w:rPr>
          <w:sz w:val="28"/>
          <w:szCs w:val="28"/>
        </w:rPr>
        <w:t xml:space="preserve">  网址：</w:t>
      </w:r>
      <w:r>
        <w:fldChar w:fldCharType="begin"/>
      </w:r>
      <w:r>
        <w:instrText xml:space="preserve">HYPERLINK "http://www.chemins-tech.com"</w:instrText>
      </w:r>
      <w:r>
        <w:fldChar w:fldCharType="separate"/>
      </w:r>
      <w:r>
        <w:rPr>
          <w:sz w:val="28"/>
          <w:szCs w:val="28"/>
        </w:rPr>
        <w:t>www.chemins-tech.com</w:t>
      </w:r>
      <w:r>
        <w:fldChar w:fldCharType="end"/>
      </w:r>
    </w:p>
    <w:p>
      <w:pPr>
        <w:pStyle w:val="11"/>
        <w:tabs>
          <w:tab w:val="right" w:leader="dot" w:pos="6719"/>
        </w:tabs>
        <w:spacing w:beforeLines="100"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73175" cy="1273175"/>
            <wp:effectExtent l="0" t="0" r="6985" b="6985"/>
            <wp:docPr id="2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drawing>
          <wp:inline distT="0" distB="0" distL="114300" distR="114300">
            <wp:extent cx="1259205" cy="1259205"/>
            <wp:effectExtent l="0" t="0" r="5715" b="5715"/>
            <wp:docPr id="7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7"/>
        <w:spacing w:line="20" w:lineRule="atLeast"/>
        <w:ind w:right="278"/>
        <w:rPr>
          <w:b/>
          <w:bCs/>
          <w:sz w:val="28"/>
          <w:szCs w:val="28"/>
        </w:rPr>
      </w:pPr>
    </w:p>
    <w:p>
      <w:pPr>
        <w:pStyle w:val="11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当仪器发生故障，请勿自行修理，请直接联系生产厂家的维修部门。</w:t>
      </w:r>
    </w:p>
    <w:p>
      <w:pPr>
        <w:rPr>
          <w:rFonts w:ascii="Times New Roman" w:hAnsi="Times New Roman" w:eastAsia="宋体" w:cs="Times New Roman"/>
          <w:color w:val="000000"/>
          <w:kern w:val="0"/>
          <w:szCs w:val="28"/>
        </w:rPr>
      </w:pP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color w:val="000000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452275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32"/>
          <w:szCs w:val="32"/>
          <w:lang w:val="en-US" w:eastAsia="en-US"/>
        </w:rPr>
      </w:sdtEndPr>
      <w:sdtContent>
        <w:p>
          <w:pPr>
            <w:pStyle w:val="28"/>
            <w:jc w:val="center"/>
            <w:rPr>
              <w:rFonts w:ascii="Times New Roman" w:hAnsi="Times New Roman" w:eastAsia="宋体" w:cs="Times New Roman"/>
              <w:color w:val="auto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"_Toc525914357"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_Toc525914357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"_Toc525914358"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_Toc525914358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"_Toc525914359"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_Toc525914359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"_Toc525914360"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_Toc525914360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"_Toc525914361"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_Toc525914361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"_Toc525914362"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_Toc525914362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"_Toc525914363"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_Toc525914363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"_Toc525914364"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_Toc525914364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"_Toc525914365"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_Toc525914365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"_Toc525914366"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_Toc525914366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"_Toc525914367"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_Toc525914367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"_Toc525914368"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_Toc525914368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"_Toc525914369"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_Toc525914369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"_Toc525914370"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_Toc525914370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9742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"_Toc525914371"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附录 数据通信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_Toc525914371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8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  <w:sz w:val="32"/>
              <w:szCs w:val="32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</w:sdtContent>
    </w:sdt>
    <w:p>
      <w:pPr>
        <w:widowControl/>
        <w:jc w:val="left"/>
        <w:rPr>
          <w:rFonts w:ascii="Times New Roman" w:hAnsi="Times New Roman" w:eastAsia="宋体" w:cs="Times New Roman"/>
          <w:sz w:val="20"/>
          <w:szCs w:val="20"/>
        </w:rPr>
      </w:pPr>
      <w:bookmarkStart w:id="0" w:name="_Toc525914357"/>
      <w:r>
        <w:rPr>
          <w:rFonts w:ascii="Times New Roman" w:hAnsi="Times New Roman" w:eastAsia="宋体" w:cs="Times New Roman"/>
          <w:b/>
          <w:bCs/>
          <w:sz w:val="20"/>
          <w:szCs w:val="20"/>
        </w:rPr>
        <w:br w:type="page"/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应用环境说明</w:t>
      </w:r>
      <w:bookmarkEnd w:id="0"/>
    </w:p>
    <w:p>
      <w:pPr>
        <w:pStyle w:val="27"/>
        <w:ind w:firstLine="425"/>
        <w:rPr>
          <w:sz w:val="28"/>
          <w:szCs w:val="28"/>
        </w:rPr>
      </w:pPr>
      <w:r>
        <w:t>用于环境水质监测、酸/碱/盐溶液、化学反应过程中、工业生产过程中，能够满足大多数工业应用对在线pH测量的要求。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信号输出：RS-485（Modbus/RTU协议）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方便连接到PLC、DCS、工业控制计算机、通用控制器、无纸记录仪器或触摸屏等第三方设备。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双高阻抗差动放大器，抗干扰强，响应速度快。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专利的pH探头，内部参比液在至少100KPa（1Bar）的压力下，极其缓慢的从微孔盐桥中渗出，其正向渗出持续20个月以上。这样的参比系统非常稳定，电极寿命比普通工业电极成倍延长。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易于安装：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1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/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</w:rPr>
        <w:t>2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NPT管螺纹，便于沉入式安装或安装在管道和罐体。。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IP68防护等级。</w:t>
      </w:r>
    </w:p>
    <w:p>
      <w:pPr>
        <w:pStyle w:val="3"/>
        <w:numPr>
          <w:ilvl w:val="0"/>
          <w:numId w:val="2"/>
        </w:numPr>
        <w:spacing w:beforeLines="100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1" w:name="_Toc525914358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4"/>
        <w:numPr>
          <w:ilvl w:val="0"/>
          <w:numId w:val="4"/>
        </w:numPr>
        <w:spacing w:beforeLines="5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" w:name="_Toc525914359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tbl>
      <w:tblPr>
        <w:tblStyle w:val="13"/>
        <w:tblW w:w="63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107"/>
        <w:gridCol w:w="2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421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iPH-306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测量原理</w:t>
            </w:r>
          </w:p>
        </w:tc>
        <w:tc>
          <w:tcPr>
            <w:tcW w:w="421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玻璃电极法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量程与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0～14.00pH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0.01 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精度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±0.1pH，±0.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响应时间（T90）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＜15s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最低检出限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校准方式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两点校准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清洁方式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温度补偿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自动温度补偿(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PT1000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输出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RS-485(Modbus/RTU)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存储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-5～65℃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0～50℃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＜0.2MPa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外壳材质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POM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安装方式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投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入式安装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NPT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功耗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0.1W@12V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供电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  <w:bookmarkStart w:id="3" w:name="_Hlk61530926"/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～</w:t>
            </w:r>
            <w:bookmarkEnd w:id="3"/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24VDC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防护等级</w:t>
            </w:r>
          </w:p>
        </w:tc>
        <w:tc>
          <w:tcPr>
            <w:tcW w:w="421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IP68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pStyle w:val="4"/>
        <w:numPr>
          <w:ilvl w:val="0"/>
          <w:numId w:val="4"/>
        </w:numPr>
        <w:spacing w:beforeLines="50" w:after="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4" w:name="_Toc525914360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4"/>
    </w:p>
    <w:p>
      <w:pPr>
        <w:widowControl/>
        <w:jc w:val="center"/>
        <w:rPr>
          <w:rFonts w:ascii="Times New Roman" w:hAnsi="Times New Roman" w:eastAsia="宋体" w:cs="Times New Roman"/>
        </w:rPr>
      </w:pPr>
      <w:r>
        <w:drawing>
          <wp:inline distT="0" distB="0" distL="0" distR="0">
            <wp:extent cx="6192520" cy="21329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注：传感器接头为M16-5芯防水接头公头</w:t>
      </w:r>
    </w:p>
    <w:p>
      <w:pPr>
        <w:pStyle w:val="3"/>
        <w:numPr>
          <w:ilvl w:val="0"/>
          <w:numId w:val="2"/>
        </w:numPr>
        <w:spacing w:beforeLines="100" w:afterLines="50" w:line="240" w:lineRule="auto"/>
        <w:ind w:left="0" w:firstLine="323"/>
        <w:rPr>
          <w:rFonts w:ascii="Times New Roman" w:hAnsi="Times New Roman" w:eastAsia="宋体" w:cs="Times New Roman"/>
        </w:rPr>
      </w:pPr>
      <w:bookmarkStart w:id="5" w:name="_Toc494117813"/>
      <w:bookmarkStart w:id="6" w:name="_Toc525914361"/>
      <w:r>
        <w:rPr>
          <w:rFonts w:ascii="Times New Roman" w:hAnsi="Times New Roman" w:eastAsia="宋体" w:cs="Times New Roman"/>
        </w:rPr>
        <w:t>安装</w:t>
      </w:r>
      <w:bookmarkEnd w:id="5"/>
      <w:r>
        <w:rPr>
          <w:rFonts w:ascii="Times New Roman" w:hAnsi="Times New Roman" w:eastAsia="宋体" w:cs="Times New Roman"/>
        </w:rPr>
        <w:t>和电气连接</w:t>
      </w:r>
      <w:bookmarkEnd w:id="6"/>
    </w:p>
    <w:p>
      <w:pPr>
        <w:pStyle w:val="4"/>
        <w:numPr>
          <w:ilvl w:val="0"/>
          <w:numId w:val="5"/>
        </w:numPr>
        <w:spacing w:beforeLines="5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7" w:name="_Toc494117814"/>
      <w:bookmarkStart w:id="8" w:name="_Toc525914362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7"/>
      <w:bookmarkEnd w:id="8"/>
    </w:p>
    <w:p>
      <w:pPr>
        <w:ind w:firstLine="240" w:firstLineChars="10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drawing>
          <wp:inline distT="0" distB="0" distL="0" distR="0">
            <wp:extent cx="5614670" cy="246316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注意：传感器安装时不能倒置或水平安装，至少倾斜15度角以上安装。</w:t>
      </w:r>
    </w:p>
    <w:p>
      <w:pPr>
        <w:pStyle w:val="4"/>
        <w:numPr>
          <w:ilvl w:val="0"/>
          <w:numId w:val="5"/>
        </w:numPr>
        <w:spacing w:beforeLines="50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9" w:name="_Toc525914363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9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bookmarkStart w:id="10" w:name="幻灯片编号_7"/>
      <w:bookmarkEnd w:id="10"/>
      <w:bookmarkStart w:id="11" w:name="幻灯片编号_8"/>
      <w:bookmarkEnd w:id="11"/>
      <w:bookmarkStart w:id="12" w:name="_Toc494117817"/>
      <w:bookmarkStart w:id="13" w:name="_Toc525914364"/>
      <w:r>
        <w:rPr>
          <w:rFonts w:ascii="Times New Roman" w:hAnsi="Times New Roman" w:eastAsia="宋体" w:cs="Times New Roman"/>
          <w:sz w:val="24"/>
        </w:rPr>
        <w:t>线缆为4芯双绞屏蔽线，线序定义：</w:t>
      </w:r>
    </w:p>
    <w:p>
      <w:pPr>
        <w:pStyle w:val="24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红色线—电源线（12V</w:t>
      </w:r>
      <w:r>
        <w:rPr>
          <w:rFonts w:ascii="Times New Roman" w:hAnsi="Times New Roman"/>
          <w:color w:val="000000"/>
          <w:kern w:val="0"/>
          <w:sz w:val="24"/>
        </w:rPr>
        <w:t>～</w:t>
      </w:r>
      <w:r>
        <w:rPr>
          <w:rFonts w:ascii="Times New Roman" w:hAnsi="Times New Roman"/>
          <w:sz w:val="24"/>
        </w:rPr>
        <w:t>24VDC）</w:t>
      </w:r>
    </w:p>
    <w:p>
      <w:pPr>
        <w:pStyle w:val="24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4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4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白色线—485B</w:t>
      </w:r>
    </w:p>
    <w:p>
      <w:pPr>
        <w:pStyle w:val="24"/>
        <w:spacing w:beforeLines="50"/>
        <w:ind w:firstLineChars="0"/>
        <w:rPr>
          <w:rFonts w:ascii="Times New Roman" w:hAnsi="Times New Roman"/>
          <w:sz w:val="24"/>
        </w:rPr>
      </w:pPr>
      <w:bookmarkStart w:id="14" w:name="_Toc496261164"/>
      <w:bookmarkStart w:id="15" w:name="_Toc494377400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4"/>
        <w:spacing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4"/>
      <w:bookmarkEnd w:id="15"/>
    </w:p>
    <w:p>
      <w:pPr>
        <w:pStyle w:val="3"/>
        <w:numPr>
          <w:ilvl w:val="0"/>
          <w:numId w:val="2"/>
        </w:numPr>
        <w:spacing w:beforeLines="100" w:afterLines="50" w:line="240" w:lineRule="auto"/>
        <w:ind w:left="0" w:firstLine="323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维护和保养</w:t>
      </w:r>
      <w:bookmarkEnd w:id="12"/>
      <w:bookmarkEnd w:id="13"/>
    </w:p>
    <w:p>
      <w:pPr>
        <w:pStyle w:val="4"/>
        <w:numPr>
          <w:ilvl w:val="0"/>
          <w:numId w:val="7"/>
        </w:numPr>
        <w:spacing w:beforeLines="50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6" w:name="_Toc525914365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6"/>
    </w:p>
    <w:p>
      <w:pPr>
        <w:widowControl/>
        <w:ind w:left="210" w:leftChars="10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pH传感器在测量时，应先在蒸馏水（或去离子水）中清洗干净，并用滤纸吸干水分，防止杂质带进被测液中，传感器的1/3应插入被测溶液中。</w:t>
      </w:r>
    </w:p>
    <w:p>
      <w:pPr>
        <w:widowControl/>
        <w:ind w:left="210" w:left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传感器不用时应洗净，插入加有3.5mol/L氯化钾溶液的保护套，或将传感器插进加有3.5mol/L氯化钾溶液的容器中。</w:t>
      </w:r>
    </w:p>
    <w:p>
      <w:pPr>
        <w:widowControl/>
        <w:ind w:left="210" w:leftChars="100"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检查接线端子处是否干燥，如有沾污，请用无水酒精擦拭，吹干后使用。应避免长期浸泡在蒸馏水或蛋白质溶液中，并防止与有机硅油脂接触。使用时间较长的传感器，它的玻璃膜可能变成半透明或附有沉积物，此时可用稀盐酸洗涤，并用水冲洗。传感器使用时间较长，出现测量误差时，须配合仪表进行标定,进行校正。</w:t>
      </w:r>
    </w:p>
    <w:p>
      <w:pPr>
        <w:widowControl/>
        <w:ind w:left="210" w:leftChars="100"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当用以上方式对传感器进行维护和保养时仍不能进行标定和测量时，说明传感器已经失效，请更换传感器。</w:t>
      </w: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标准缓冲液pH 值对照参考表</w:t>
      </w: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</w:p>
    <w:tbl>
      <w:tblPr>
        <w:tblStyle w:val="13"/>
        <w:tblW w:w="8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266"/>
        <w:gridCol w:w="1179"/>
        <w:gridCol w:w="1110"/>
        <w:gridCol w:w="1155"/>
        <w:gridCol w:w="111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7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Temp(</w:t>
            </w:r>
            <w:r>
              <w:rPr>
                <w:sz w:val="24"/>
                <w:szCs w:val="22"/>
              </w:rPr>
              <w:t>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6" w:type="dxa"/>
            <w:tcBorders>
              <w:top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  <w:tcBorders>
              <w:top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4.01</w:t>
            </w:r>
          </w:p>
        </w:tc>
        <w:tc>
          <w:tcPr>
            <w:tcW w:w="1110" w:type="dxa"/>
            <w:tcBorders>
              <w:top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6.86</w:t>
            </w:r>
          </w:p>
        </w:tc>
        <w:tc>
          <w:tcPr>
            <w:tcW w:w="1155" w:type="dxa"/>
            <w:tcBorders>
              <w:top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7.00</w:t>
            </w:r>
          </w:p>
        </w:tc>
        <w:tc>
          <w:tcPr>
            <w:tcW w:w="1110" w:type="dxa"/>
            <w:tcBorders>
              <w:top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9.18</w:t>
            </w:r>
          </w:p>
        </w:tc>
        <w:tc>
          <w:tcPr>
            <w:tcW w:w="1215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0</w:t>
            </w:r>
          </w:p>
        </w:tc>
        <w:tc>
          <w:tcPr>
            <w:tcW w:w="1266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6.98</w:t>
            </w:r>
          </w:p>
        </w:tc>
        <w:tc>
          <w:tcPr>
            <w:tcW w:w="115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7.12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9.46</w:t>
            </w:r>
          </w:p>
        </w:tc>
        <w:tc>
          <w:tcPr>
            <w:tcW w:w="1215" w:type="dxa"/>
            <w:tcBorders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</w:t>
            </w:r>
          </w:p>
        </w:tc>
        <w:tc>
          <w:tcPr>
            <w:tcW w:w="1266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6.95</w:t>
            </w:r>
          </w:p>
        </w:tc>
        <w:tc>
          <w:tcPr>
            <w:tcW w:w="115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7.09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9.39</w:t>
            </w:r>
          </w:p>
        </w:tc>
        <w:tc>
          <w:tcPr>
            <w:tcW w:w="1215" w:type="dxa"/>
            <w:tcBorders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</w:t>
            </w:r>
          </w:p>
        </w:tc>
        <w:tc>
          <w:tcPr>
            <w:tcW w:w="1266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6.92</w:t>
            </w:r>
          </w:p>
        </w:tc>
        <w:tc>
          <w:tcPr>
            <w:tcW w:w="115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7.06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9.33</w:t>
            </w:r>
          </w:p>
        </w:tc>
        <w:tc>
          <w:tcPr>
            <w:tcW w:w="1215" w:type="dxa"/>
            <w:tcBorders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15</w:t>
            </w:r>
          </w:p>
        </w:tc>
        <w:tc>
          <w:tcPr>
            <w:tcW w:w="1266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6.90</w:t>
            </w:r>
          </w:p>
        </w:tc>
        <w:tc>
          <w:tcPr>
            <w:tcW w:w="115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7.04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9.28</w:t>
            </w:r>
          </w:p>
        </w:tc>
        <w:tc>
          <w:tcPr>
            <w:tcW w:w="1215" w:type="dxa"/>
            <w:tcBorders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20</w:t>
            </w:r>
          </w:p>
        </w:tc>
        <w:tc>
          <w:tcPr>
            <w:tcW w:w="1266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6.88</w:t>
            </w:r>
          </w:p>
        </w:tc>
        <w:tc>
          <w:tcPr>
            <w:tcW w:w="115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7.02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9.23</w:t>
            </w:r>
          </w:p>
        </w:tc>
        <w:tc>
          <w:tcPr>
            <w:tcW w:w="1215" w:type="dxa"/>
            <w:tcBorders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25</w:t>
            </w:r>
          </w:p>
        </w:tc>
        <w:tc>
          <w:tcPr>
            <w:tcW w:w="1266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4.00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4.01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6.86</w:t>
            </w:r>
          </w:p>
        </w:tc>
        <w:tc>
          <w:tcPr>
            <w:tcW w:w="115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7.00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9.18</w:t>
            </w:r>
          </w:p>
        </w:tc>
        <w:tc>
          <w:tcPr>
            <w:tcW w:w="1215" w:type="dxa"/>
            <w:tcBorders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30</w:t>
            </w:r>
          </w:p>
        </w:tc>
        <w:tc>
          <w:tcPr>
            <w:tcW w:w="1266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4.01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4.02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6.85</w:t>
            </w:r>
          </w:p>
        </w:tc>
        <w:tc>
          <w:tcPr>
            <w:tcW w:w="115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6.99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9.14</w:t>
            </w:r>
          </w:p>
        </w:tc>
        <w:tc>
          <w:tcPr>
            <w:tcW w:w="1215" w:type="dxa"/>
            <w:tcBorders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35</w:t>
            </w:r>
          </w:p>
        </w:tc>
        <w:tc>
          <w:tcPr>
            <w:tcW w:w="1266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4.02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4.02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6.84</w:t>
            </w:r>
          </w:p>
        </w:tc>
        <w:tc>
          <w:tcPr>
            <w:tcW w:w="115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6.98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9.1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0</w:t>
            </w:r>
            <w:bookmarkStart w:id="43" w:name="_GoBack"/>
            <w:bookmarkEnd w:id="43"/>
          </w:p>
        </w:tc>
        <w:tc>
          <w:tcPr>
            <w:tcW w:w="1215" w:type="dxa"/>
            <w:tcBorders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</w:t>
            </w:r>
          </w:p>
        </w:tc>
        <w:tc>
          <w:tcPr>
            <w:tcW w:w="1266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4.03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4.04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6.84</w:t>
            </w:r>
          </w:p>
        </w:tc>
        <w:tc>
          <w:tcPr>
            <w:tcW w:w="115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6.97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9.07</w:t>
            </w:r>
          </w:p>
        </w:tc>
        <w:tc>
          <w:tcPr>
            <w:tcW w:w="1215" w:type="dxa"/>
            <w:tcBorders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45</w:t>
            </w:r>
          </w:p>
        </w:tc>
        <w:tc>
          <w:tcPr>
            <w:tcW w:w="1266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4.04</w:t>
            </w:r>
          </w:p>
        </w:tc>
        <w:tc>
          <w:tcPr>
            <w:tcW w:w="1179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4.05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6.83</w:t>
            </w:r>
          </w:p>
        </w:tc>
        <w:tc>
          <w:tcPr>
            <w:tcW w:w="1155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6.97</w:t>
            </w:r>
          </w:p>
        </w:tc>
        <w:tc>
          <w:tcPr>
            <w:tcW w:w="1110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9.04</w:t>
            </w:r>
          </w:p>
        </w:tc>
        <w:tc>
          <w:tcPr>
            <w:tcW w:w="1215" w:type="dxa"/>
            <w:tcBorders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5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50</w:t>
            </w:r>
          </w:p>
        </w:tc>
        <w:tc>
          <w:tcPr>
            <w:tcW w:w="1266" w:type="dxa"/>
            <w:tcBorders>
              <w:bottom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4.06</w:t>
            </w:r>
          </w:p>
        </w:tc>
        <w:tc>
          <w:tcPr>
            <w:tcW w:w="1179" w:type="dxa"/>
            <w:tcBorders>
              <w:bottom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4.06</w:t>
            </w:r>
          </w:p>
        </w:tc>
        <w:tc>
          <w:tcPr>
            <w:tcW w:w="1110" w:type="dxa"/>
            <w:tcBorders>
              <w:bottom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6.83</w:t>
            </w:r>
          </w:p>
        </w:tc>
        <w:tc>
          <w:tcPr>
            <w:tcW w:w="1155" w:type="dxa"/>
            <w:tcBorders>
              <w:bottom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6.97</w:t>
            </w:r>
          </w:p>
        </w:tc>
        <w:tc>
          <w:tcPr>
            <w:tcW w:w="1110" w:type="dxa"/>
            <w:tcBorders>
              <w:bottom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9.02</w:t>
            </w:r>
          </w:p>
        </w:tc>
        <w:tc>
          <w:tcPr>
            <w:tcW w:w="1215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9.83</w:t>
            </w:r>
          </w:p>
        </w:tc>
      </w:tr>
    </w:tbl>
    <w:p>
      <w:pPr>
        <w:pStyle w:val="4"/>
        <w:numPr>
          <w:ilvl w:val="0"/>
          <w:numId w:val="7"/>
        </w:numPr>
        <w:spacing w:beforeLines="50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7" w:name="_Toc525914366"/>
      <w:bookmarkStart w:id="18" w:name="OLE_LINK11"/>
      <w:r>
        <w:rPr>
          <w:rFonts w:ascii="Times New Roman" w:hAnsi="Times New Roman" w:eastAsia="宋体" w:cs="Times New Roman"/>
          <w:sz w:val="28"/>
          <w:szCs w:val="28"/>
        </w:rPr>
        <w:t>校准</w:t>
      </w:r>
      <w:bookmarkEnd w:id="17"/>
    </w:p>
    <w:p>
      <w:pPr>
        <w:widowControl/>
        <w:ind w:firstLine="241" w:firstLineChars="1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注意：传感器在出厂前已经校准，若非超出测量误差，不宜随意校准。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31"/>
        <w:ind w:left="210" w:leftChars="100"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用量筒量取250mL的蒸馏水，倒入烧杯中，加入pH=6.86的校准粉一包，用玻璃棒搅拌均匀，直至粉末完全溶解，配置pH=6.86的溶液，将传感器放入溶液中，等待3～5分钟，待数值稳定后看显示的数值是否是6.86，如果不是则需进行零点校准，校准指令参照附录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斜率校准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酸性溶液时：用量筒量取250mL的蒸馏水，倒入烧杯中，加入pH=4.00的校准粉一包，用玻璃棒搅拌均匀，直至粉末完全溶解，配置成pH=4.00的溶液；将传感器放入溶液中，等待3～5分钟，待数值稳定后看显示数值是否是4.00，如果不是则需进行斜率校准，校准指令参照附录。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碱性溶液时：用量筒量取250mL的蒸馏水，倒入烧杯中，加入pH=9.18的校准粉一包，用玻璃棒搅拌均匀，直至粉末完全溶解，配置成pH=9.18的溶液；将传感器放入溶液中，等待3～5分钟，待数值稳定后看显示是否是9.18，如果不是则需进行斜率校准，校准指令参照附录。</w:t>
      </w:r>
    </w:p>
    <w:p>
      <w:pPr>
        <w:pStyle w:val="3"/>
        <w:numPr>
          <w:ilvl w:val="0"/>
          <w:numId w:val="2"/>
        </w:numPr>
        <w:spacing w:beforeLines="100" w:afterLines="50" w:line="240" w:lineRule="auto"/>
        <w:ind w:left="210" w:leftChars="100" w:firstLine="323"/>
        <w:rPr>
          <w:rFonts w:ascii="Times New Roman" w:hAnsi="Times New Roman" w:eastAsia="宋体" w:cs="Times New Roman"/>
        </w:rPr>
      </w:pPr>
      <w:bookmarkStart w:id="19" w:name="_Toc494117818"/>
      <w:bookmarkStart w:id="20" w:name="_Toc525914367"/>
      <w:r>
        <w:rPr>
          <w:rFonts w:ascii="Times New Roman" w:hAnsi="Times New Roman" w:eastAsia="宋体" w:cs="Times New Roman"/>
        </w:rPr>
        <w:t>质量和服务</w:t>
      </w:r>
      <w:bookmarkEnd w:id="19"/>
      <w:bookmarkEnd w:id="20"/>
    </w:p>
    <w:p>
      <w:pPr>
        <w:pStyle w:val="24"/>
        <w:numPr>
          <w:ilvl w:val="0"/>
          <w:numId w:val="9"/>
        </w:numPr>
        <w:suppressAutoHyphens w:val="0"/>
        <w:ind w:left="210" w:leftChars="100" w:firstLineChars="0"/>
        <w:jc w:val="both"/>
        <w:outlineLvl w:val="2"/>
        <w:rPr>
          <w:rFonts w:ascii="Times New Roman" w:hAnsi="Times New Roman"/>
          <w:b/>
          <w:kern w:val="0"/>
          <w:szCs w:val="28"/>
        </w:rPr>
      </w:pPr>
      <w:bookmarkStart w:id="21" w:name="_Toc525914368"/>
      <w:bookmarkStart w:id="22" w:name="_Toc492393682"/>
      <w:r>
        <w:rPr>
          <w:rFonts w:ascii="Times New Roman" w:hAnsi="Times New Roman"/>
          <w:b/>
          <w:kern w:val="0"/>
          <w:szCs w:val="28"/>
        </w:rPr>
        <w:t>质量保证</w:t>
      </w:r>
      <w:bookmarkEnd w:id="21"/>
      <w:bookmarkEnd w:id="22"/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24"/>
        <w:numPr>
          <w:ilvl w:val="0"/>
          <w:numId w:val="9"/>
        </w:numPr>
        <w:suppressAutoHyphens w:val="0"/>
        <w:ind w:left="210" w:leftChars="100" w:firstLineChars="0"/>
        <w:jc w:val="both"/>
        <w:outlineLvl w:val="2"/>
        <w:rPr>
          <w:rFonts w:ascii="Times New Roman" w:hAnsi="Times New Roman"/>
          <w:b/>
          <w:kern w:val="0"/>
          <w:szCs w:val="28"/>
        </w:rPr>
      </w:pPr>
      <w:bookmarkStart w:id="23" w:name="_Toc26673"/>
      <w:bookmarkStart w:id="24" w:name="_Toc8014"/>
      <w:bookmarkStart w:id="25" w:name="_Toc492393683"/>
      <w:bookmarkStart w:id="26" w:name="_Toc453839765"/>
      <w:bookmarkStart w:id="27" w:name="_Toc446678251"/>
      <w:bookmarkStart w:id="28" w:name="_Toc452497955"/>
      <w:bookmarkStart w:id="29" w:name="_Toc525914369"/>
      <w:bookmarkStart w:id="30" w:name="_Toc427659760"/>
      <w:r>
        <w:rPr>
          <w:rFonts w:ascii="Times New Roman" w:hAnsi="Times New Roman"/>
          <w:b/>
          <w:kern w:val="0"/>
          <w:szCs w:val="28"/>
        </w:rPr>
        <w:t>配件和备件</w:t>
      </w:r>
      <w:bookmarkEnd w:id="23"/>
      <w:bookmarkEnd w:id="24"/>
      <w:bookmarkEnd w:id="25"/>
      <w:bookmarkEnd w:id="26"/>
      <w:bookmarkEnd w:id="27"/>
      <w:bookmarkEnd w:id="28"/>
      <w:bookmarkEnd w:id="29"/>
    </w:p>
    <w:p>
      <w:pPr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传感器1支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校准粉3包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说明书1份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合格证1张</w:t>
      </w:r>
    </w:p>
    <w:p>
      <w:pPr>
        <w:numPr>
          <w:ilvl w:val="0"/>
          <w:numId w:val="11"/>
        </w:num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线缆1根（5m）</w:t>
      </w:r>
    </w:p>
    <w:p>
      <w:pPr>
        <w:pStyle w:val="24"/>
        <w:numPr>
          <w:ilvl w:val="0"/>
          <w:numId w:val="9"/>
        </w:numPr>
        <w:suppressAutoHyphens w:val="0"/>
        <w:ind w:left="210" w:leftChars="100" w:firstLineChars="0"/>
        <w:jc w:val="both"/>
        <w:outlineLvl w:val="2"/>
        <w:rPr>
          <w:rFonts w:ascii="Times New Roman" w:hAnsi="Times New Roman"/>
          <w:b/>
          <w:kern w:val="0"/>
          <w:szCs w:val="28"/>
        </w:rPr>
      </w:pPr>
      <w:bookmarkStart w:id="31" w:name="_Toc492393684"/>
      <w:bookmarkStart w:id="32" w:name="_Toc525914370"/>
      <w:bookmarkStart w:id="33" w:name="_Toc453839766"/>
      <w:bookmarkStart w:id="34" w:name="_Toc452497956"/>
      <w:bookmarkStart w:id="35" w:name="_Toc19215"/>
      <w:r>
        <w:rPr>
          <w:rFonts w:ascii="Times New Roman" w:hAnsi="Times New Roman"/>
          <w:b/>
          <w:kern w:val="0"/>
          <w:szCs w:val="28"/>
        </w:rPr>
        <w:t>售后服务承诺</w:t>
      </w:r>
      <w:bookmarkEnd w:id="30"/>
      <w:bookmarkEnd w:id="31"/>
      <w:bookmarkEnd w:id="32"/>
      <w:bookmarkEnd w:id="33"/>
      <w:bookmarkEnd w:id="34"/>
      <w:bookmarkEnd w:id="35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bookmarkStart w:id="36" w:name="OLE_LINK9"/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本公司提供自销售日起一年内的本机售后服务，但不包括不当使用所造成的损坏，若需要维修或调整，请寄回，但运费需自负，寄回时需确定包装良好以避免运送途中损坏，本公司将免费维修仪器的损坏。</w:t>
      </w:r>
      <w:bookmarkEnd w:id="18"/>
      <w:bookmarkEnd w:id="36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br w:type="page"/>
      </w:r>
    </w:p>
    <w:p>
      <w:pPr>
        <w:pStyle w:val="3"/>
        <w:spacing w:beforeLines="100" w:afterLines="50" w:line="240" w:lineRule="auto"/>
        <w:ind w:left="323"/>
        <w:rPr>
          <w:rFonts w:ascii="Times New Roman" w:hAnsi="Times New Roman" w:eastAsia="宋体" w:cs="Times New Roman"/>
          <w:sz w:val="28"/>
          <w:szCs w:val="28"/>
        </w:rPr>
      </w:pPr>
      <w:bookmarkStart w:id="37" w:name="_Toc525914371"/>
      <w:r>
        <w:rPr>
          <w:rFonts w:ascii="Times New Roman" w:hAnsi="Times New Roman" w:eastAsia="宋体" w:cs="Times New Roman"/>
        </w:rPr>
        <w:t>附录</w:t>
      </w:r>
      <w:bookmarkStart w:id="38" w:name="_Toc494117816"/>
      <w:bookmarkStart w:id="39" w:name="_Toc496251213"/>
      <w:r>
        <w:rPr>
          <w:rFonts w:ascii="Times New Roman" w:hAnsi="Times New Roman" w:eastAsia="宋体" w:cs="Times New Roman"/>
        </w:rPr>
        <w:t xml:space="preserve"> 数据通信</w:t>
      </w:r>
      <w:bookmarkEnd w:id="37"/>
      <w:bookmarkEnd w:id="38"/>
      <w:bookmarkEnd w:id="39"/>
    </w:p>
    <w:p>
      <w:pPr>
        <w:pStyle w:val="24"/>
        <w:numPr>
          <w:ilvl w:val="1"/>
          <w:numId w:val="12"/>
        </w:numPr>
        <w:suppressAutoHyphens w:val="0"/>
        <w:spacing w:beforeLines="50" w:after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40" w:name="OLE_LINK3"/>
      <w:r>
        <w:rPr>
          <w:rFonts w:ascii="Times New Roman" w:hAnsi="Times New Roman"/>
          <w:b/>
          <w:kern w:val="0"/>
          <w:szCs w:val="28"/>
        </w:rPr>
        <w:t>数据格式</w:t>
      </w:r>
      <w:bookmarkEnd w:id="40"/>
      <w:bookmarkStart w:id="41" w:name="OLE_LINK4"/>
    </w:p>
    <w:bookmarkEnd w:id="41"/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4"/>
        <w:numPr>
          <w:ilvl w:val="1"/>
          <w:numId w:val="12"/>
        </w:numPr>
        <w:suppressAutoHyphens w:val="0"/>
        <w:spacing w:beforeLines="50" w:after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bookmarkStart w:id="42" w:name="_Hlk13492458"/>
      <w:r>
        <w:rPr>
          <w:rFonts w:ascii="Times New Roman" w:hAnsi="Times New Roman"/>
          <w:b/>
          <w:kern w:val="0"/>
          <w:szCs w:val="28"/>
        </w:rPr>
        <w:t>信息帧格式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03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地址     功能码      寄存器地址      寄存器数量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读数据应答帧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03       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xx……xx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字节数          应答数据  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  xx          xx  xx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xx 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xx  xx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</w:p>
    <w:p>
      <w:pPr>
        <w:pStyle w:val="34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bookmarkEnd w:id="42"/>
    <w:p>
      <w:pPr>
        <w:pStyle w:val="24"/>
        <w:numPr>
          <w:ilvl w:val="1"/>
          <w:numId w:val="12"/>
        </w:numPr>
        <w:suppressAutoHyphens w:val="0"/>
        <w:spacing w:beforeLines="50" w:after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寄存器地址</w:t>
      </w:r>
    </w:p>
    <w:tbl>
      <w:tblPr>
        <w:tblStyle w:val="14"/>
        <w:tblW w:w="88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67"/>
        <w:gridCol w:w="2979"/>
        <w:gridCol w:w="1546"/>
        <w:gridCol w:w="12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寄存器地址</w:t>
            </w:r>
          </w:p>
        </w:tc>
        <w:tc>
          <w:tcPr>
            <w:tcW w:w="1567" w:type="dxa"/>
            <w:tcBorders>
              <w:top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2979" w:type="dxa"/>
            <w:tcBorders>
              <w:top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1546" w:type="dxa"/>
            <w:tcBorders>
              <w:top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寄存器个数</w:t>
            </w:r>
          </w:p>
        </w:tc>
        <w:tc>
          <w:tcPr>
            <w:tcW w:w="1235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(0x0000)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测量值+温度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4个双字节整数，分别为测量值、测量值小数位数、温度值、温度值小数位数。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4（8字节）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(0x1000)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零点校准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在pH为6.86的标准液中校准，写入数据为0。读出数据为零点偏移量。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44099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(0x1002)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(4pH)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在pH为4.00的标准液中校准，写入数据为0。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(0x1004)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(9.18pH)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在pH为9.18的标准液中校准，写入数据为0。读出数据为斜率值x1000。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(0x1010)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温度校准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在溶液中校准，写入数据为实际温度值x10；读出数据为温度校准偏移量x10。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(0x2002)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传感器地址</w:t>
            </w:r>
          </w:p>
        </w:tc>
        <w:tc>
          <w:tcPr>
            <w:tcW w:w="2979" w:type="dxa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highlight w:val="yellow"/>
              </w:rPr>
              <w:t>默认为</w:t>
            </w:r>
            <w:r>
              <w:rPr>
                <w:rFonts w:hint="eastAsia" w:ascii="Times New Roman" w:hAnsi="Times New Roman" w:eastAsia="宋体" w:cs="Times New Roman"/>
                <w:sz w:val="24"/>
                <w:highlight w:val="yellow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4"/>
                <w:highlight w:val="yellow"/>
              </w:rPr>
              <w:t>，写入数据范围1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  <w:t>～</w:t>
            </w:r>
            <w:r>
              <w:rPr>
                <w:rFonts w:hint="eastAsia" w:ascii="Times New Roman" w:hAnsi="Times New Roman" w:eastAsia="宋体" w:cs="Times New Roman"/>
                <w:sz w:val="24"/>
                <w:highlight w:val="yellow"/>
              </w:rPr>
              <w:t>255</w:t>
            </w:r>
            <w:r>
              <w:rPr>
                <w:rFonts w:ascii="Times New Roman" w:hAnsi="Times New Roman" w:eastAsia="宋体" w:cs="Times New Roman"/>
                <w:sz w:val="24"/>
                <w:highlight w:val="yellow"/>
              </w:rPr>
              <w:t>。</w:t>
            </w:r>
          </w:p>
        </w:tc>
        <w:tc>
          <w:tcPr>
            <w:tcW w:w="1546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(0x2020)</w:t>
            </w:r>
          </w:p>
        </w:tc>
        <w:tc>
          <w:tcPr>
            <w:tcW w:w="1567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重置传感器</w:t>
            </w:r>
          </w:p>
        </w:tc>
        <w:tc>
          <w:tcPr>
            <w:tcW w:w="2979" w:type="dxa"/>
            <w:tcBorders>
              <w:bottom w:val="single" w:color="auto" w:sz="6" w:space="0"/>
            </w:tcBorders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校准值恢复默认值，写入数据为0。注意：传感器重置后需再次校准方可使用。</w:t>
            </w:r>
          </w:p>
        </w:tc>
        <w:tc>
          <w:tcPr>
            <w:tcW w:w="1546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5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</w:tbl>
    <w:p>
      <w:pPr>
        <w:pStyle w:val="24"/>
        <w:numPr>
          <w:ilvl w:val="1"/>
          <w:numId w:val="12"/>
        </w:numPr>
        <w:suppressAutoHyphens w:val="0"/>
        <w:spacing w:before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命令示例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读取数据指令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作用：获取传感器测量的pH值和温度；pH的单位为pH；温度的单位为℃。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03 00 00 00 04 </w:t>
      </w:r>
      <w:r>
        <w:rPr>
          <w:rFonts w:hint="eastAsia" w:ascii="Times New Roman" w:hAnsi="Times New Roman" w:eastAsia="宋体" w:cs="Times New Roman"/>
          <w:sz w:val="24"/>
          <w:szCs w:val="24"/>
        </w:rPr>
        <w:t>45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EB</w:t>
      </w:r>
      <w:r>
        <w:rPr>
          <w:rFonts w:ascii="Times New Roman" w:hAnsi="Times New Roman" w:eastAsia="宋体" w:cs="Times New Roman"/>
          <w:sz w:val="24"/>
          <w:szCs w:val="24"/>
        </w:rPr>
        <w:t>；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03 08 00 62 00 02 01 01 00 01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35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95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读数示例：</w:t>
      </w:r>
    </w:p>
    <w:tbl>
      <w:tblPr>
        <w:tblStyle w:val="13"/>
        <w:tblpPr w:leftFromText="180" w:rightFromText="180" w:vertAnchor="text" w:horzAnchor="page" w:tblpXSpec="center" w:tblpY="166"/>
        <w:tblOverlap w:val="never"/>
        <w:tblW w:w="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9"/>
              <w:ind w:left="-71" w:leftChars="-34"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pH值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9"/>
              <w:ind w:left="-71" w:leftChars="-34" w:firstLine="600" w:firstLineChars="2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2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29"/>
              <w:ind w:left="-71" w:leftChars="-34" w:firstLine="360" w:firstLineChars="1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00 62 00 02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9"/>
              <w:ind w:left="-71" w:leftChars="-34"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01 01 00 01</w:t>
            </w:r>
          </w:p>
        </w:tc>
      </w:tr>
    </w:tbl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29"/>
        <w:ind w:left="42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pH值：00 62表示十六进制读数pH值，00 02表示pH数值带2位小数,转换成十进制数值为0.98。</w:t>
      </w:r>
    </w:p>
    <w:p>
      <w:pPr>
        <w:pStyle w:val="29"/>
        <w:ind w:left="420"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>温度值：01 01表示十六进制读数温度值，00 01表示温度数值带1位小数，转换成十进制数值为25.7。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作用：设定传感器的pH零点校准值，零点值以6.86pH标准液为校准标准，示例参看如下；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06 10 00 00 00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8C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E8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06 10 00 00 00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8C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E8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斜率校准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作用：设定传感器的pH斜率校准值；斜率校准分为高点和低点校准，测得碱性溶液则在高点校准；测得酸性溶液则在低点校准，此处分别以标准液高点9.18pH、标准液低点4.00pH为校准参考，示例如下：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高点标准液9.18pH校准：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06 10 04 00 00 </w:t>
      </w:r>
      <w:r>
        <w:rPr>
          <w:rFonts w:hint="eastAsia" w:ascii="Times New Roman" w:hAnsi="Times New Roman" w:eastAsia="宋体" w:cs="Times New Roman"/>
          <w:sz w:val="24"/>
          <w:szCs w:val="24"/>
        </w:rPr>
        <w:t>CD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29</w:t>
      </w:r>
    </w:p>
    <w:p>
      <w:pPr>
        <w:pStyle w:val="29"/>
        <w:ind w:left="42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06 10 04 00 00 </w:t>
      </w:r>
      <w:r>
        <w:rPr>
          <w:rFonts w:hint="eastAsia" w:ascii="Times New Roman" w:hAnsi="Times New Roman" w:eastAsia="宋体" w:cs="Times New Roman"/>
          <w:sz w:val="24"/>
          <w:szCs w:val="24"/>
        </w:rPr>
        <w:t>CD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29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低点标准液4.00pH 校准：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06 10 02 00 00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2D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28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 xml:space="preserve"> 06 10 02 00 00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2D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</w:rPr>
        <w:t>28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设置设备ID地址：</w:t>
      </w:r>
    </w:p>
    <w:p>
      <w:pPr>
        <w:pStyle w:val="24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作用：设置传感器的MODBUS设备地址；</w:t>
      </w:r>
    </w:p>
    <w:p>
      <w:pPr>
        <w:pStyle w:val="24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将设备地址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3</w:t>
      </w:r>
      <w:r>
        <w:rPr>
          <w:rFonts w:ascii="Times New Roman" w:hAnsi="Times New Roman"/>
          <w:sz w:val="24"/>
        </w:rPr>
        <w:t>改为</w:t>
      </w:r>
      <w:r>
        <w:rPr>
          <w:rFonts w:ascii="Times New Roman" w:hAnsi="Times New Roman"/>
          <w:kern w:val="2"/>
          <w:sz w:val="24"/>
        </w:rPr>
        <w:t>01</w:t>
      </w:r>
      <w:r>
        <w:rPr>
          <w:rFonts w:ascii="Times New Roman" w:hAnsi="Times New Roman"/>
          <w:sz w:val="24"/>
        </w:rPr>
        <w:t>，范例如下</w:t>
      </w:r>
    </w:p>
    <w:p>
      <w:pPr>
        <w:pStyle w:val="24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3</w:t>
      </w:r>
      <w:r>
        <w:rPr>
          <w:rFonts w:ascii="Times New Roman" w:hAnsi="Times New Roman"/>
          <w:kern w:val="2"/>
          <w:sz w:val="24"/>
        </w:rPr>
        <w:t xml:space="preserve"> 06 20 02 00 01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E3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E8</w:t>
      </w:r>
    </w:p>
    <w:p>
      <w:pPr>
        <w:pStyle w:val="24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>3</w:t>
      </w:r>
      <w:r>
        <w:rPr>
          <w:rFonts w:ascii="Times New Roman" w:hAnsi="Times New Roman"/>
          <w:kern w:val="2"/>
          <w:sz w:val="24"/>
        </w:rPr>
        <w:t xml:space="preserve"> 06 20 02 00 01</w:t>
      </w:r>
      <w:r>
        <w:rPr>
          <w:rFonts w:hint="eastAsia" w:ascii="Times New Roman" w:hAnsi="Times New Roman"/>
          <w:kern w:val="2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E3</w:t>
      </w:r>
      <w:r>
        <w:rPr>
          <w:rFonts w:ascii="Times New Roman" w:hAnsi="Times New Roman"/>
          <w:kern w:val="2"/>
          <w:sz w:val="24"/>
        </w:rPr>
        <w:t xml:space="preserve"> </w:t>
      </w:r>
      <w:r>
        <w:rPr>
          <w:rFonts w:hint="eastAsia" w:ascii="Times New Roman" w:hAnsi="Times New Roman"/>
          <w:kern w:val="2"/>
          <w:sz w:val="24"/>
        </w:rPr>
        <w:t>E8</w:t>
      </w:r>
    </w:p>
    <w:p>
      <w:pPr>
        <w:pStyle w:val="24"/>
        <w:numPr>
          <w:ilvl w:val="1"/>
          <w:numId w:val="12"/>
        </w:numPr>
        <w:suppressAutoHyphens w:val="0"/>
        <w:spacing w:beforeLines="50" w:afterLines="50"/>
        <w:ind w:firstLineChars="0"/>
        <w:jc w:val="both"/>
        <w:rPr>
          <w:rFonts w:ascii="Times New Roman" w:hAnsi="Times New Roman"/>
          <w:b/>
          <w:kern w:val="0"/>
          <w:szCs w:val="28"/>
        </w:rPr>
      </w:pPr>
      <w:r>
        <w:rPr>
          <w:rFonts w:ascii="Times New Roman" w:hAnsi="Times New Roman"/>
          <w:b/>
          <w:kern w:val="0"/>
          <w:szCs w:val="28"/>
        </w:rPr>
        <w:t>错误响应</w:t>
      </w:r>
    </w:p>
    <w:p>
      <w:pPr>
        <w:spacing w:afterLines="50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3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pStyle w:val="24"/>
        <w:numPr>
          <w:ilvl w:val="0"/>
          <w:numId w:val="15"/>
        </w:numPr>
        <w:suppressAutoHyphens w:val="0"/>
        <w:spacing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pStyle w:val="24"/>
        <w:suppressAutoHyphens w:val="0"/>
        <w:ind w:firstLine="1740" w:firstLineChars="7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 – 数据错</w:t>
      </w:r>
    </w:p>
    <w:p>
      <w:pPr>
        <w:pStyle w:val="24"/>
        <w:numPr>
          <w:ilvl w:val="0"/>
          <w:numId w:val="15"/>
        </w:numPr>
        <w:suppressAutoHyphens w:val="0"/>
        <w:spacing w:beforeLines="50"/>
        <w:ind w:left="845" w:firstLineChars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COM：接收到的功能码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1077" w:bottom="1134" w:left="1077" w:header="113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凯米斯科技          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8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10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6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hint="eastAsia"/>
      </w:rPr>
      <w:t xml:space="preserve">烟台凯米斯仪器有限公司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9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hint="eastAsia"/>
      </w:rPr>
      <w:t>www.chemins-tech.com</w:t>
    </w:r>
    <w:r>
      <w:rPr>
        <w:rStyle w:val="16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-257810</wp:posOffset>
          </wp:positionV>
          <wp:extent cx="1700530" cy="405130"/>
          <wp:effectExtent l="19050" t="0" r="0" b="0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-257810</wp:posOffset>
          </wp:positionV>
          <wp:extent cx="1699895" cy="405130"/>
          <wp:effectExtent l="19050" t="0" r="0" b="0"/>
          <wp:wrapNone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2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0C606DCC"/>
    <w:multiLevelType w:val="multilevel"/>
    <w:tmpl w:val="0C606DC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D47BD9"/>
    <w:multiLevelType w:val="singleLevel"/>
    <w:tmpl w:val="15D47BD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234A0D64"/>
    <w:multiLevelType w:val="multilevel"/>
    <w:tmpl w:val="234A0D64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>
    <w:nsid w:val="3F1C60D7"/>
    <w:multiLevelType w:val="multilevel"/>
    <w:tmpl w:val="3F1C60D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7BA618B"/>
    <w:multiLevelType w:val="multilevel"/>
    <w:tmpl w:val="47BA61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39DE2"/>
    <w:multiLevelType w:val="multilevel"/>
    <w:tmpl w:val="57639DE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asciiTheme="majorEastAsia" w:hAnsiTheme="majorEastAsia" w:eastAsiaTheme="majorEastAsia"/>
      </w:rPr>
    </w:lvl>
    <w:lvl w:ilvl="1" w:tentative="0">
      <w:start w:val="1"/>
      <w:numFmt w:val="decimal"/>
      <w:lvlText w:val="%2."/>
      <w:lvlJc w:val="left"/>
      <w:pPr>
        <w:ind w:left="992" w:hanging="567"/>
      </w:pPr>
      <w:rPr>
        <w:rFonts w:hint="default" w:ascii="Times New Roman" w:hAnsi="Times New Roman" w:eastAsia="宋体" w:cs="Times New Roman"/>
        <w:b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5839121F"/>
    <w:multiLevelType w:val="singleLevel"/>
    <w:tmpl w:val="5839121F"/>
    <w:lvl w:ilvl="0" w:tentative="0">
      <w:start w:val="1"/>
      <w:numFmt w:val="lowerLetter"/>
      <w:suff w:val="nothing"/>
      <w:lvlText w:val="%1）"/>
      <w:lvlJc w:val="left"/>
    </w:lvl>
  </w:abstractNum>
  <w:abstractNum w:abstractNumId="12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2E62309"/>
    <w:multiLevelType w:val="multilevel"/>
    <w:tmpl w:val="72E62309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ascii="Times New Roman" w:hAnsi="Times New Roman" w:eastAsia="宋体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7E3C15AC"/>
    <w:multiLevelType w:val="multilevel"/>
    <w:tmpl w:val="7E3C15AC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U5YjJkMGIyYmZkOTBlMzJmNzk5ZTJmZTczMTFmYzEifQ=="/>
  </w:docVars>
  <w:rsids>
    <w:rsidRoot w:val="005B7FF9"/>
    <w:rsid w:val="00001C04"/>
    <w:rsid w:val="00034A31"/>
    <w:rsid w:val="00036DA7"/>
    <w:rsid w:val="000545F3"/>
    <w:rsid w:val="0005529E"/>
    <w:rsid w:val="000632B2"/>
    <w:rsid w:val="00076C19"/>
    <w:rsid w:val="0009081A"/>
    <w:rsid w:val="00090D83"/>
    <w:rsid w:val="000956D1"/>
    <w:rsid w:val="000969F4"/>
    <w:rsid w:val="000A2B0A"/>
    <w:rsid w:val="000A37B2"/>
    <w:rsid w:val="000A71F6"/>
    <w:rsid w:val="000B4A5A"/>
    <w:rsid w:val="000B4CAF"/>
    <w:rsid w:val="000C1FF2"/>
    <w:rsid w:val="000D6B71"/>
    <w:rsid w:val="000E0360"/>
    <w:rsid w:val="000E5490"/>
    <w:rsid w:val="000E6E45"/>
    <w:rsid w:val="000E7DE2"/>
    <w:rsid w:val="000F2F75"/>
    <w:rsid w:val="000F4603"/>
    <w:rsid w:val="001015D8"/>
    <w:rsid w:val="00115BE5"/>
    <w:rsid w:val="00121B45"/>
    <w:rsid w:val="00134A9E"/>
    <w:rsid w:val="0013616C"/>
    <w:rsid w:val="00141E17"/>
    <w:rsid w:val="0015234A"/>
    <w:rsid w:val="00153B60"/>
    <w:rsid w:val="00162EB4"/>
    <w:rsid w:val="00177132"/>
    <w:rsid w:val="00194493"/>
    <w:rsid w:val="001A03B9"/>
    <w:rsid w:val="001A3E0D"/>
    <w:rsid w:val="001A4BFA"/>
    <w:rsid w:val="001A5F7F"/>
    <w:rsid w:val="001B46DC"/>
    <w:rsid w:val="001D2FEB"/>
    <w:rsid w:val="001E49FD"/>
    <w:rsid w:val="001E528E"/>
    <w:rsid w:val="00221C8A"/>
    <w:rsid w:val="00222BB7"/>
    <w:rsid w:val="00223B06"/>
    <w:rsid w:val="00246D27"/>
    <w:rsid w:val="00250BA6"/>
    <w:rsid w:val="00251233"/>
    <w:rsid w:val="002530C3"/>
    <w:rsid w:val="002611A1"/>
    <w:rsid w:val="002678B1"/>
    <w:rsid w:val="00267C64"/>
    <w:rsid w:val="0027779F"/>
    <w:rsid w:val="00290386"/>
    <w:rsid w:val="002947D0"/>
    <w:rsid w:val="002A462D"/>
    <w:rsid w:val="002B3962"/>
    <w:rsid w:val="002B4E50"/>
    <w:rsid w:val="002D36DF"/>
    <w:rsid w:val="002F2497"/>
    <w:rsid w:val="002F7B3D"/>
    <w:rsid w:val="00312E48"/>
    <w:rsid w:val="00313978"/>
    <w:rsid w:val="0031582A"/>
    <w:rsid w:val="00323459"/>
    <w:rsid w:val="00323E6F"/>
    <w:rsid w:val="0034543B"/>
    <w:rsid w:val="003629A4"/>
    <w:rsid w:val="0037052D"/>
    <w:rsid w:val="0037081D"/>
    <w:rsid w:val="003804A9"/>
    <w:rsid w:val="00380A8C"/>
    <w:rsid w:val="00382A71"/>
    <w:rsid w:val="00387593"/>
    <w:rsid w:val="0039068C"/>
    <w:rsid w:val="003A2DE9"/>
    <w:rsid w:val="003A4BB0"/>
    <w:rsid w:val="003A4CEE"/>
    <w:rsid w:val="003A6B85"/>
    <w:rsid w:val="003D13C0"/>
    <w:rsid w:val="003D1F32"/>
    <w:rsid w:val="003D2CE1"/>
    <w:rsid w:val="003D41C2"/>
    <w:rsid w:val="003E46F1"/>
    <w:rsid w:val="003F293B"/>
    <w:rsid w:val="004103F6"/>
    <w:rsid w:val="00412AAF"/>
    <w:rsid w:val="00444CCE"/>
    <w:rsid w:val="0046527F"/>
    <w:rsid w:val="00467500"/>
    <w:rsid w:val="0047049E"/>
    <w:rsid w:val="00480FF7"/>
    <w:rsid w:val="004819B1"/>
    <w:rsid w:val="00487504"/>
    <w:rsid w:val="00490755"/>
    <w:rsid w:val="00490CD5"/>
    <w:rsid w:val="00495F7C"/>
    <w:rsid w:val="004A10EA"/>
    <w:rsid w:val="004A325E"/>
    <w:rsid w:val="004B7EB4"/>
    <w:rsid w:val="004C0F8D"/>
    <w:rsid w:val="004E2055"/>
    <w:rsid w:val="005073E6"/>
    <w:rsid w:val="005121AB"/>
    <w:rsid w:val="005177D1"/>
    <w:rsid w:val="00517CA7"/>
    <w:rsid w:val="0052462A"/>
    <w:rsid w:val="00531415"/>
    <w:rsid w:val="005438BD"/>
    <w:rsid w:val="0054409F"/>
    <w:rsid w:val="00563330"/>
    <w:rsid w:val="005644FC"/>
    <w:rsid w:val="00573200"/>
    <w:rsid w:val="005738B6"/>
    <w:rsid w:val="00573914"/>
    <w:rsid w:val="005749EA"/>
    <w:rsid w:val="00583179"/>
    <w:rsid w:val="00584D69"/>
    <w:rsid w:val="0059536B"/>
    <w:rsid w:val="005A603D"/>
    <w:rsid w:val="005A62A5"/>
    <w:rsid w:val="005B7FF9"/>
    <w:rsid w:val="005D6AF3"/>
    <w:rsid w:val="005F0BD8"/>
    <w:rsid w:val="005F5D11"/>
    <w:rsid w:val="00604479"/>
    <w:rsid w:val="006103F1"/>
    <w:rsid w:val="00620E38"/>
    <w:rsid w:val="006237F5"/>
    <w:rsid w:val="00623C59"/>
    <w:rsid w:val="00624DD0"/>
    <w:rsid w:val="006567CA"/>
    <w:rsid w:val="00660961"/>
    <w:rsid w:val="00665934"/>
    <w:rsid w:val="006663C7"/>
    <w:rsid w:val="00667988"/>
    <w:rsid w:val="00670FE4"/>
    <w:rsid w:val="00681856"/>
    <w:rsid w:val="00682BBC"/>
    <w:rsid w:val="00686999"/>
    <w:rsid w:val="00692E70"/>
    <w:rsid w:val="00695461"/>
    <w:rsid w:val="00697D2A"/>
    <w:rsid w:val="006A0FED"/>
    <w:rsid w:val="006B0C4C"/>
    <w:rsid w:val="006C6E92"/>
    <w:rsid w:val="006D0B59"/>
    <w:rsid w:val="006D45F5"/>
    <w:rsid w:val="006D64BB"/>
    <w:rsid w:val="006E3D72"/>
    <w:rsid w:val="006F4653"/>
    <w:rsid w:val="00712FD2"/>
    <w:rsid w:val="00716B4C"/>
    <w:rsid w:val="0073361D"/>
    <w:rsid w:val="007405B4"/>
    <w:rsid w:val="00740CC7"/>
    <w:rsid w:val="007438D2"/>
    <w:rsid w:val="00763F78"/>
    <w:rsid w:val="00771640"/>
    <w:rsid w:val="007A052F"/>
    <w:rsid w:val="007A061C"/>
    <w:rsid w:val="007A152C"/>
    <w:rsid w:val="007A459B"/>
    <w:rsid w:val="007B0EF9"/>
    <w:rsid w:val="007B49E0"/>
    <w:rsid w:val="007B698D"/>
    <w:rsid w:val="007D2DBD"/>
    <w:rsid w:val="007D6C2F"/>
    <w:rsid w:val="007F1706"/>
    <w:rsid w:val="007F2BEF"/>
    <w:rsid w:val="00821333"/>
    <w:rsid w:val="00824FCF"/>
    <w:rsid w:val="00844A8E"/>
    <w:rsid w:val="0084680E"/>
    <w:rsid w:val="008473E4"/>
    <w:rsid w:val="00852BEF"/>
    <w:rsid w:val="00872F4B"/>
    <w:rsid w:val="00890988"/>
    <w:rsid w:val="008A02BE"/>
    <w:rsid w:val="008A6ED8"/>
    <w:rsid w:val="008B2975"/>
    <w:rsid w:val="008D3651"/>
    <w:rsid w:val="008D5492"/>
    <w:rsid w:val="008E30E1"/>
    <w:rsid w:val="008E6EDA"/>
    <w:rsid w:val="008E781F"/>
    <w:rsid w:val="008F0A89"/>
    <w:rsid w:val="009004FF"/>
    <w:rsid w:val="00904717"/>
    <w:rsid w:val="00905552"/>
    <w:rsid w:val="009061FA"/>
    <w:rsid w:val="00914519"/>
    <w:rsid w:val="00914532"/>
    <w:rsid w:val="00915C93"/>
    <w:rsid w:val="0091726C"/>
    <w:rsid w:val="009208B3"/>
    <w:rsid w:val="00942E11"/>
    <w:rsid w:val="00951C5A"/>
    <w:rsid w:val="00952199"/>
    <w:rsid w:val="0095662F"/>
    <w:rsid w:val="009718AD"/>
    <w:rsid w:val="00971E41"/>
    <w:rsid w:val="00975238"/>
    <w:rsid w:val="00987602"/>
    <w:rsid w:val="009954B6"/>
    <w:rsid w:val="0099681C"/>
    <w:rsid w:val="009A072E"/>
    <w:rsid w:val="009A42CB"/>
    <w:rsid w:val="009A4BCA"/>
    <w:rsid w:val="009A7BD6"/>
    <w:rsid w:val="009B5A5B"/>
    <w:rsid w:val="009C18D0"/>
    <w:rsid w:val="009D21CB"/>
    <w:rsid w:val="009E6F1B"/>
    <w:rsid w:val="009E7A8E"/>
    <w:rsid w:val="009F129E"/>
    <w:rsid w:val="009F1AB9"/>
    <w:rsid w:val="009F6825"/>
    <w:rsid w:val="00A155DC"/>
    <w:rsid w:val="00A2230C"/>
    <w:rsid w:val="00A2575D"/>
    <w:rsid w:val="00A42742"/>
    <w:rsid w:val="00A44B61"/>
    <w:rsid w:val="00A51B43"/>
    <w:rsid w:val="00A531CA"/>
    <w:rsid w:val="00A815C6"/>
    <w:rsid w:val="00AA23D6"/>
    <w:rsid w:val="00AA335C"/>
    <w:rsid w:val="00AA641D"/>
    <w:rsid w:val="00AB3BED"/>
    <w:rsid w:val="00AC02E1"/>
    <w:rsid w:val="00AC3F7F"/>
    <w:rsid w:val="00AC4C1A"/>
    <w:rsid w:val="00AD5273"/>
    <w:rsid w:val="00AD5BE6"/>
    <w:rsid w:val="00AD778A"/>
    <w:rsid w:val="00AE1C4C"/>
    <w:rsid w:val="00AF0D2E"/>
    <w:rsid w:val="00AF0F99"/>
    <w:rsid w:val="00AF62A7"/>
    <w:rsid w:val="00B053CC"/>
    <w:rsid w:val="00B05C5F"/>
    <w:rsid w:val="00B07F47"/>
    <w:rsid w:val="00B07FC9"/>
    <w:rsid w:val="00B27A33"/>
    <w:rsid w:val="00B36119"/>
    <w:rsid w:val="00B418A4"/>
    <w:rsid w:val="00B4678D"/>
    <w:rsid w:val="00B476A0"/>
    <w:rsid w:val="00B51266"/>
    <w:rsid w:val="00B53BA4"/>
    <w:rsid w:val="00B64029"/>
    <w:rsid w:val="00B6442F"/>
    <w:rsid w:val="00B66656"/>
    <w:rsid w:val="00B767B2"/>
    <w:rsid w:val="00B94EAB"/>
    <w:rsid w:val="00B961E8"/>
    <w:rsid w:val="00B97269"/>
    <w:rsid w:val="00BA7094"/>
    <w:rsid w:val="00BB41F7"/>
    <w:rsid w:val="00BC7755"/>
    <w:rsid w:val="00BD136F"/>
    <w:rsid w:val="00BE3295"/>
    <w:rsid w:val="00BE3625"/>
    <w:rsid w:val="00BE730F"/>
    <w:rsid w:val="00C01B58"/>
    <w:rsid w:val="00C33534"/>
    <w:rsid w:val="00C36490"/>
    <w:rsid w:val="00C45DE9"/>
    <w:rsid w:val="00C5513E"/>
    <w:rsid w:val="00C568C8"/>
    <w:rsid w:val="00C64709"/>
    <w:rsid w:val="00C65C37"/>
    <w:rsid w:val="00C81095"/>
    <w:rsid w:val="00C87409"/>
    <w:rsid w:val="00C94B1F"/>
    <w:rsid w:val="00CA783C"/>
    <w:rsid w:val="00CC4E59"/>
    <w:rsid w:val="00CD3310"/>
    <w:rsid w:val="00CD4160"/>
    <w:rsid w:val="00CD49D2"/>
    <w:rsid w:val="00CE00C4"/>
    <w:rsid w:val="00CE4604"/>
    <w:rsid w:val="00D10589"/>
    <w:rsid w:val="00D11412"/>
    <w:rsid w:val="00D15250"/>
    <w:rsid w:val="00D45015"/>
    <w:rsid w:val="00D57EA9"/>
    <w:rsid w:val="00D60AB1"/>
    <w:rsid w:val="00D62982"/>
    <w:rsid w:val="00D62E6E"/>
    <w:rsid w:val="00D64AC9"/>
    <w:rsid w:val="00D65EE3"/>
    <w:rsid w:val="00D81D5A"/>
    <w:rsid w:val="00D823A6"/>
    <w:rsid w:val="00D9168A"/>
    <w:rsid w:val="00DA0A72"/>
    <w:rsid w:val="00DB49E5"/>
    <w:rsid w:val="00DB679F"/>
    <w:rsid w:val="00DC1211"/>
    <w:rsid w:val="00DC2A19"/>
    <w:rsid w:val="00DC6368"/>
    <w:rsid w:val="00DC6AD0"/>
    <w:rsid w:val="00DE086D"/>
    <w:rsid w:val="00DE14C2"/>
    <w:rsid w:val="00DE288A"/>
    <w:rsid w:val="00DE305E"/>
    <w:rsid w:val="00DE406A"/>
    <w:rsid w:val="00DF4BE8"/>
    <w:rsid w:val="00E1443D"/>
    <w:rsid w:val="00E165CA"/>
    <w:rsid w:val="00E255BB"/>
    <w:rsid w:val="00E33AC6"/>
    <w:rsid w:val="00E340B3"/>
    <w:rsid w:val="00E34C9B"/>
    <w:rsid w:val="00E45839"/>
    <w:rsid w:val="00E5384D"/>
    <w:rsid w:val="00E6419F"/>
    <w:rsid w:val="00E828C9"/>
    <w:rsid w:val="00E842F3"/>
    <w:rsid w:val="00E879AA"/>
    <w:rsid w:val="00E96542"/>
    <w:rsid w:val="00EA3599"/>
    <w:rsid w:val="00EA5843"/>
    <w:rsid w:val="00EA61CB"/>
    <w:rsid w:val="00EA6F77"/>
    <w:rsid w:val="00EB0BCB"/>
    <w:rsid w:val="00EB78D7"/>
    <w:rsid w:val="00EC0BBA"/>
    <w:rsid w:val="00EC1923"/>
    <w:rsid w:val="00EE039D"/>
    <w:rsid w:val="00EE0D2D"/>
    <w:rsid w:val="00EE435E"/>
    <w:rsid w:val="00EF3B6A"/>
    <w:rsid w:val="00EF7AA8"/>
    <w:rsid w:val="00F066BA"/>
    <w:rsid w:val="00F1559A"/>
    <w:rsid w:val="00F20010"/>
    <w:rsid w:val="00F20104"/>
    <w:rsid w:val="00F26D25"/>
    <w:rsid w:val="00F37B15"/>
    <w:rsid w:val="00F451D1"/>
    <w:rsid w:val="00F5451E"/>
    <w:rsid w:val="00F82170"/>
    <w:rsid w:val="00F843DF"/>
    <w:rsid w:val="00F97CAB"/>
    <w:rsid w:val="00FA7256"/>
    <w:rsid w:val="00FB392D"/>
    <w:rsid w:val="00FC39F8"/>
    <w:rsid w:val="00FD2DDC"/>
    <w:rsid w:val="00FD2E49"/>
    <w:rsid w:val="00FD57EB"/>
    <w:rsid w:val="00FE7F3F"/>
    <w:rsid w:val="00FF38BF"/>
    <w:rsid w:val="02536246"/>
    <w:rsid w:val="06E85062"/>
    <w:rsid w:val="07824687"/>
    <w:rsid w:val="07BB61EB"/>
    <w:rsid w:val="07EC5A78"/>
    <w:rsid w:val="08E70B1C"/>
    <w:rsid w:val="096518FC"/>
    <w:rsid w:val="0AA50DE0"/>
    <w:rsid w:val="0E34219A"/>
    <w:rsid w:val="0E7F63BB"/>
    <w:rsid w:val="0E917307"/>
    <w:rsid w:val="100A2914"/>
    <w:rsid w:val="1425713A"/>
    <w:rsid w:val="17B651D9"/>
    <w:rsid w:val="19487270"/>
    <w:rsid w:val="1D5F5F7E"/>
    <w:rsid w:val="1E242B62"/>
    <w:rsid w:val="1F0C14DF"/>
    <w:rsid w:val="1F3B4120"/>
    <w:rsid w:val="28C409A9"/>
    <w:rsid w:val="2B3D3EC8"/>
    <w:rsid w:val="2BD46EDF"/>
    <w:rsid w:val="2C037490"/>
    <w:rsid w:val="2C253377"/>
    <w:rsid w:val="2F864C2D"/>
    <w:rsid w:val="2FCC24CB"/>
    <w:rsid w:val="32A93A54"/>
    <w:rsid w:val="386C468A"/>
    <w:rsid w:val="39AC5BCA"/>
    <w:rsid w:val="39E7370C"/>
    <w:rsid w:val="3D930FA0"/>
    <w:rsid w:val="3ED44F40"/>
    <w:rsid w:val="3EDC7BAF"/>
    <w:rsid w:val="45896ADB"/>
    <w:rsid w:val="47B9022E"/>
    <w:rsid w:val="4929106F"/>
    <w:rsid w:val="4B5561BB"/>
    <w:rsid w:val="4E855E14"/>
    <w:rsid w:val="4FB71723"/>
    <w:rsid w:val="511C55E1"/>
    <w:rsid w:val="52947B7B"/>
    <w:rsid w:val="579E2E0D"/>
    <w:rsid w:val="592179E3"/>
    <w:rsid w:val="604729A5"/>
    <w:rsid w:val="66924842"/>
    <w:rsid w:val="66EA5D06"/>
    <w:rsid w:val="6D961799"/>
    <w:rsid w:val="6E0F4DA5"/>
    <w:rsid w:val="6E942DD9"/>
    <w:rsid w:val="78272164"/>
    <w:rsid w:val="FB7FE3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3"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unhideWhenUsed/>
    <w:qFormat/>
    <w:uiPriority w:val="99"/>
    <w:pPr>
      <w:adjustRightInd w:val="0"/>
      <w:spacing w:line="312" w:lineRule="atLeast"/>
      <w:textAlignment w:val="baseline"/>
    </w:pPr>
    <w:rPr>
      <w:rFonts w:ascii="Times New Roman" w:hAnsi="Times New Roman" w:eastAsia="宋体" w:cs="Times New Roman"/>
      <w:szCs w:val="20"/>
    </w:rPr>
  </w:style>
  <w:style w:type="paragraph" w:styleId="8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autoRedefine/>
    <w:unhideWhenUsed/>
    <w:qFormat/>
    <w:uiPriority w:val="39"/>
  </w:style>
  <w:style w:type="paragraph" w:styleId="12">
    <w:name w:val="toc 2"/>
    <w:basedOn w:val="1"/>
    <w:next w:val="1"/>
    <w:autoRedefine/>
    <w:unhideWhenUsed/>
    <w:qFormat/>
    <w:uiPriority w:val="39"/>
    <w:pPr>
      <w:ind w:left="420" w:leftChars="200"/>
    </w:pPr>
  </w:style>
  <w:style w:type="table" w:styleId="14">
    <w:name w:val="Table Grid"/>
    <w:basedOn w:val="1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19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5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5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3">
    <w:name w:val="正文文本 Char"/>
    <w:basedOn w:val="15"/>
    <w:link w:val="5"/>
    <w:autoRedefine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4">
    <w:name w:val="列出段落1"/>
    <w:basedOn w:val="1"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5">
    <w:name w:val="apple-converted-space"/>
    <w:autoRedefine/>
    <w:qFormat/>
    <w:uiPriority w:val="0"/>
  </w:style>
  <w:style w:type="paragraph" w:customStyle="1" w:styleId="26">
    <w:name w:val="TOC 标题1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8">
    <w:name w:val="TOC 标题2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9">
    <w:name w:val="列出段落2"/>
    <w:basedOn w:val="1"/>
    <w:autoRedefine/>
    <w:qFormat/>
    <w:uiPriority w:val="34"/>
  </w:style>
  <w:style w:type="paragraph" w:customStyle="1" w:styleId="30">
    <w:name w:val="Table Paragraph"/>
    <w:basedOn w:val="1"/>
    <w:autoRedefine/>
    <w:qFormat/>
    <w:uiPriority w:val="1"/>
  </w:style>
  <w:style w:type="paragraph" w:customStyle="1" w:styleId="31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列出段落31"/>
    <w:basedOn w:val="1"/>
    <w:qFormat/>
    <w:uiPriority w:val="34"/>
    <w:pPr>
      <w:ind w:firstLine="420" w:firstLineChars="200"/>
    </w:pPr>
  </w:style>
  <w:style w:type="paragraph" w:customStyle="1" w:styleId="33">
    <w:name w:val="列出段落4"/>
    <w:basedOn w:val="1"/>
    <w:unhideWhenUsed/>
    <w:qFormat/>
    <w:uiPriority w:val="99"/>
    <w:pPr>
      <w:ind w:firstLine="420" w:firstLineChars="200"/>
    </w:pPr>
  </w:style>
  <w:style w:type="paragraph" w:styleId="3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1E3731-5052-4D4C-9A7E-FFF7300305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844</Words>
  <Characters>4817</Characters>
  <Lines>40</Lines>
  <Paragraphs>11</Paragraphs>
  <TotalTime>4</TotalTime>
  <ScaleCrop>false</ScaleCrop>
  <LinksUpToDate>false</LinksUpToDate>
  <CharactersWithSpaces>5650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2015-09-30T10:32:00Z</dcterms:created>
  <dc:creator>Chemins</dc:creator>
  <cp:lastModifiedBy>凯米斯 姜亨康</cp:lastModifiedBy>
  <cp:lastPrinted>2017-05-26T10:37:00Z</cp:lastPrinted>
  <dcterms:modified xsi:type="dcterms:W3CDTF">2024-01-17T00:36:05Z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3A9C113858DC418DB1559A57990CC546</vt:lpwstr>
  </property>
</Properties>
</file>