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F159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ORP-406</w:t>
      </w:r>
      <w:r>
        <w:rPr>
          <w:rFonts w:hint="eastAsia" w:ascii="Times New Roman" w:hAnsi="Times New Roman" w:eastAsia="宋体" w:cs="Times New Roman"/>
          <w:b/>
          <w:sz w:val="52"/>
          <w:szCs w:val="52"/>
          <w:highlight w:val="none"/>
          <w:lang w:val="en-US" w:eastAsia="zh-CN"/>
        </w:rPr>
        <w:t>C</w:t>
      </w: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在线ORP传感器</w:t>
      </w:r>
    </w:p>
    <w:p w14:paraId="53A23442">
      <w:pPr>
        <w:jc w:val="center"/>
        <w:rPr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用户手册</w:t>
      </w:r>
    </w:p>
    <w:p w14:paraId="6A784DC8">
      <w:pPr>
        <w:jc w:val="center"/>
        <w:rPr>
          <w:rFonts w:hint="eastAsia" w:ascii="Times New Roman" w:hAnsi="Times New Roman" w:cs="Times New Roman" w:eastAsiaTheme="minorEastAsia"/>
          <w:b/>
          <w:szCs w:val="21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</w:t>
      </w:r>
    </w:p>
    <w:p w14:paraId="24AA2232">
      <w:pPr>
        <w:jc w:val="center"/>
        <w:rPr>
          <w:rFonts w:ascii="Times New Roman" w:hAnsi="Times New Roman" w:eastAsia="宋体" w:cs="Times New Roman"/>
          <w:b/>
          <w:szCs w:val="21"/>
          <w:highlight w:val="none"/>
        </w:rPr>
      </w:pPr>
      <w:r>
        <w:rPr>
          <w:highlight w:val="none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140970</wp:posOffset>
            </wp:positionV>
            <wp:extent cx="1155065" cy="4062095"/>
            <wp:effectExtent l="0" t="0" r="0" b="0"/>
            <wp:wrapSquare wrapText="bothSides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7" t="4938" r="38222" b="8192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E038B7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Theme="minorEastAsia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412750</wp:posOffset>
            </wp:positionV>
            <wp:extent cx="3945890" cy="3084830"/>
            <wp:effectExtent l="0" t="0" r="0" b="0"/>
            <wp:wrapSquare wrapText="bothSides"/>
            <wp:docPr id="8" name="图片 8" descr="E:/产品图片/氯离子/11.pn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产品图片/氯离子/11.png11"/>
                    <pic:cNvPicPr>
                      <a:picLocks noChangeAspect="1"/>
                    </pic:cNvPicPr>
                  </pic:nvPicPr>
                  <pic:blipFill>
                    <a:blip r:embed="rId9"/>
                    <a:srcRect l="4997" r="1268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4589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CA1F3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169FCD1D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05202A52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1A25E6E0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657748F8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41D2D3D0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701C05F6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494286FC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06C7C3FB">
      <w:pPr>
        <w:pStyle w:val="20"/>
        <w:tabs>
          <w:tab w:val="left" w:pos="6487"/>
        </w:tabs>
        <w:spacing w:line="20" w:lineRule="atLeast"/>
        <w:ind w:left="73" w:leftChars="35" w:right="278" w:firstLine="198" w:firstLineChars="71"/>
        <w:jc w:val="left"/>
        <w:rPr>
          <w:rFonts w:hint="eastAsia" w:cs="Times New Roman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sz w:val="28"/>
          <w:szCs w:val="28"/>
          <w:highlight w:val="none"/>
          <w:lang w:val="en-US" w:eastAsia="zh-CN"/>
        </w:rPr>
        <w:tab/>
      </w:r>
    </w:p>
    <w:p w14:paraId="52B58C04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2815AAD7">
      <w:pPr>
        <w:pStyle w:val="20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杭州凯米斯物联传感科技有限公司</w:t>
      </w:r>
    </w:p>
    <w:p w14:paraId="153C0997">
      <w:pPr>
        <w:pStyle w:val="20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电话：400-666-0325 </w:t>
      </w:r>
    </w:p>
    <w:p w14:paraId="7ABCA05E">
      <w:pPr>
        <w:pStyle w:val="20"/>
        <w:spacing w:line="20" w:lineRule="atLeast"/>
        <w:ind w:left="280" w:right="278" w:firstLine="56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"mailto:service@chemins-tech.com"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service@chemins-tech.com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 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www.chemins-tech.com</w:t>
      </w:r>
      <w:r>
        <w:rPr>
          <w:sz w:val="28"/>
          <w:szCs w:val="28"/>
          <w:highlight w:val="none"/>
        </w:rPr>
        <w:fldChar w:fldCharType="end"/>
      </w:r>
    </w:p>
    <w:p w14:paraId="532A5125">
      <w:pPr>
        <w:pStyle w:val="9"/>
        <w:tabs>
          <w:tab w:val="right" w:leader="dot" w:pos="6719"/>
        </w:tabs>
        <w:spacing w:before="312" w:beforeLines="100" w:line="360" w:lineRule="auto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highlight w:val="none"/>
          <w:lang w:eastAsia="zh-CN"/>
        </w:rPr>
      </w:pPr>
      <w:r>
        <w:rPr>
          <w:highlight w:val="none"/>
        </w:rPr>
        <w:drawing>
          <wp:inline distT="0" distB="0" distL="114300" distR="114300">
            <wp:extent cx="1215390" cy="1212850"/>
            <wp:effectExtent l="0" t="0" r="381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highlight w:val="none"/>
        </w:rPr>
        <w:drawing>
          <wp:inline distT="0" distB="0" distL="114300" distR="114300">
            <wp:extent cx="1209040" cy="1213485"/>
            <wp:effectExtent l="0" t="0" r="1016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C9F7B">
      <w:pPr>
        <w:pStyle w:val="9"/>
        <w:tabs>
          <w:tab w:val="right" w:leader="dot" w:pos="6719"/>
        </w:tabs>
        <w:spacing w:line="360" w:lineRule="auto"/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用户须知</w:t>
      </w:r>
    </w:p>
    <w:p w14:paraId="2A502E50">
      <w:pPr>
        <w:rPr>
          <w:rFonts w:ascii="Times New Roman" w:hAnsi="Times New Roman" w:eastAsia="宋体" w:cs="Times New Roman"/>
          <w:highlight w:val="none"/>
        </w:rPr>
      </w:pPr>
    </w:p>
    <w:p w14:paraId="5788054C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使用前请详细阅读本说明书，并保存以供参考。</w:t>
      </w:r>
    </w:p>
    <w:p w14:paraId="738E6455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请遵守本说明书操作规程及注意事项。</w:t>
      </w:r>
    </w:p>
    <w:p w14:paraId="54CB235D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在收到仪器时，请小心打开包装，检视仪器及配件是否因运送而损坏，如有发现损坏，请立即通知生产厂家及经销商，并保留包装物，以便寄回处理。</w:t>
      </w:r>
    </w:p>
    <w:p w14:paraId="3F237B8D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当仪器发生故障，请勿自行修理，请直接联系生产厂家的售后部门。</w:t>
      </w:r>
    </w:p>
    <w:p w14:paraId="6A0857A6">
      <w:p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</w:p>
    <w:p w14:paraId="38D3408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br w:type="page"/>
      </w: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44"/>
          <w:szCs w:val="44"/>
          <w:highlight w:val="none"/>
          <w:lang w:val="zh-CN" w:eastAsia="en-US"/>
        </w:rPr>
        <w:id w:val="21452275"/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en-US"/>
        </w:rPr>
      </w:sdtEndPr>
      <w:sdtContent>
        <w:p w14:paraId="6A85F789">
          <w:pPr>
            <w:pStyle w:val="21"/>
            <w:spacing w:before="312" w:beforeLines="100" w:after="312" w:afterLines="100" w:line="240" w:lineRule="auto"/>
            <w:jc w:val="center"/>
            <w:rPr>
              <w:rFonts w:ascii="Times New Roman" w:hAnsi="Times New Roman" w:eastAsia="宋体" w:cs="Times New Roman"/>
              <w:b w:val="0"/>
              <w:bCs w:val="0"/>
              <w:color w:val="auto"/>
              <w:kern w:val="2"/>
              <w:highlight w:val="none"/>
              <w:lang w:val="zh-CN"/>
            </w:rPr>
          </w:pPr>
          <w:r>
            <w:rPr>
              <w:rFonts w:ascii="Times New Roman" w:hAnsi="Times New Roman" w:eastAsia="宋体" w:cs="Times New Roman"/>
              <w:color w:val="auto"/>
              <w:sz w:val="44"/>
              <w:szCs w:val="44"/>
              <w:highlight w:val="none"/>
              <w:lang w:val="zh-CN"/>
            </w:rPr>
            <w:t>目录</w:t>
          </w:r>
        </w:p>
        <w:p w14:paraId="3EB7547A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"_Toc525914232"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一、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应用环境说明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10438FFE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"_Toc525914233"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二、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技术性能和规格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F12514C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"_Toc525914234"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技术参数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73340DA2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"_Toc525914235"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尺寸图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3946D14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"_Toc525914236"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三、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安装和电气连接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31E6EF88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"_Toc525914237"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安装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81D627C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"_Toc525914238"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_Toc525914238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ED225F6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"_Toc525914239"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四、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维护和保养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hint="eastAsia" w:ascii="Times New Roman" w:hAnsi="Times New Roman" w:eastAsia="宋体" w:cs="Times New Roman"/>
              <w:sz w:val="28"/>
              <w:szCs w:val="28"/>
              <w:highlight w:val="none"/>
              <w:lang w:val="en-US" w:eastAsia="zh-CN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7E029DDB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"_Toc525914240"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使用和保养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_Toc525914240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34FB025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"_Toc525914241"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ORP标准溶液配制方法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_Toc525914241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C369037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"_Toc525914242"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校准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8186B7C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"_Toc525914243"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五、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质量和服务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AF3D8BB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"_Toc525914244"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质量保证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CC14F37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"_Toc525914245"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配件和备件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1C270C5E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"_Toc525914246"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售后服务承诺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D12A94F">
          <w:pPr>
            <w:pStyle w:val="10"/>
            <w:tabs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"_Toc525914247"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附录 数据通讯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8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9DC6B1F">
          <w:pPr>
            <w:rPr>
              <w:rFonts w:ascii="Times New Roman" w:hAnsi="Times New Roman" w:eastAsia="宋体" w:cs="Times New Roman"/>
              <w:sz w:val="32"/>
              <w:szCs w:val="32"/>
              <w:highlight w:val="none"/>
              <w:lang w:eastAsia="en-US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</w:sdtContent>
    </w:sdt>
    <w:p w14:paraId="5A047742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br w:type="page"/>
      </w:r>
    </w:p>
    <w:p w14:paraId="09DEF02A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0" w:name="_Toc525914232"/>
      <w:r>
        <w:rPr>
          <w:rFonts w:ascii="Times New Roman" w:hAnsi="Times New Roman" w:eastAsia="宋体" w:cs="Times New Roman"/>
          <w:highlight w:val="none"/>
        </w:rPr>
        <w:t>应用环境说明</w:t>
      </w:r>
      <w:bookmarkEnd w:id="0"/>
    </w:p>
    <w:p w14:paraId="4D9716DB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用于环境水质监测、酸/碱/盐溶液、化学反应过程中、工业生产过程中，能够满足大多数工业应用对在线ORP测量的要求。</w:t>
      </w:r>
    </w:p>
    <w:p w14:paraId="5996FEE4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信号输出：RS-485（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Modbus/RTU协议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、4-20mA电流输出</w:t>
      </w:r>
    </w:p>
    <w:p w14:paraId="079513BE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方便连接到PLC、DCS、工业控制计算机、通用控制器、无纸记录仪器或触摸屏等第三方设备。</w:t>
      </w:r>
    </w:p>
    <w:p w14:paraId="386624D0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双高阻抗差动放大器，抗干扰强，响应速度快。</w:t>
      </w:r>
    </w:p>
    <w:p w14:paraId="6493AAAD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专利的ORP电极，内部参比液在至少100KPa（1Bar）的压力下，极其缓慢的从微孔盐桥中渗出，其正向渗出持续20个月以上。这样的参比系统非常稳定，电极寿命比普通工业电极成倍延长。</w:t>
      </w:r>
    </w:p>
    <w:p w14:paraId="104CA509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易于安装：3/4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N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PT管螺纹，便于沉入式安装或安装在管道和罐体。</w:t>
      </w:r>
    </w:p>
    <w:p w14:paraId="2B538F83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IP68防护等级。</w:t>
      </w:r>
    </w:p>
    <w:p w14:paraId="3BEA2D0C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" w:name="_Toc525914233"/>
      <w:r>
        <w:rPr>
          <w:rFonts w:ascii="Times New Roman" w:hAnsi="Times New Roman" w:eastAsia="宋体" w:cs="Times New Roman"/>
          <w:highlight w:val="none"/>
        </w:rPr>
        <w:t>技术性能和规格</w:t>
      </w:r>
      <w:bookmarkEnd w:id="1"/>
    </w:p>
    <w:p w14:paraId="2FBB08AC">
      <w:pPr>
        <w:pStyle w:val="4"/>
        <w:numPr>
          <w:ilvl w:val="0"/>
          <w:numId w:val="4"/>
        </w:numPr>
        <w:spacing w:before="0" w:after="156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2" w:name="_Toc4964"/>
      <w:bookmarkStart w:id="3" w:name="_Toc525914234"/>
      <w:bookmarkStart w:id="4" w:name="_Toc423526157"/>
      <w:bookmarkStart w:id="5" w:name="_Toc427659758"/>
      <w:bookmarkStart w:id="6" w:name="OLE_LINK6"/>
      <w:r>
        <w:rPr>
          <w:rFonts w:ascii="Times New Roman" w:hAnsi="Times New Roman" w:eastAsia="宋体" w:cs="Times New Roman"/>
          <w:sz w:val="28"/>
          <w:szCs w:val="28"/>
          <w:highlight w:val="none"/>
        </w:rPr>
        <w:t>技术参数</w:t>
      </w:r>
      <w:bookmarkEnd w:id="2"/>
      <w:bookmarkEnd w:id="3"/>
      <w:bookmarkEnd w:id="4"/>
      <w:bookmarkEnd w:id="5"/>
    </w:p>
    <w:bookmarkEnd w:id="6"/>
    <w:tbl>
      <w:tblPr>
        <w:tblStyle w:val="11"/>
        <w:tblW w:w="6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119"/>
        <w:gridCol w:w="2120"/>
      </w:tblGrid>
      <w:tr w14:paraId="5189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7A34CC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211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C961BD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ORP-406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C</w:t>
            </w:r>
          </w:p>
        </w:tc>
        <w:tc>
          <w:tcPr>
            <w:tcW w:w="21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CDF2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ORP-406</w:t>
            </w:r>
          </w:p>
        </w:tc>
      </w:tr>
      <w:tr w14:paraId="5C16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7D3E70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外壳材质</w:t>
            </w:r>
          </w:p>
        </w:tc>
        <w:tc>
          <w:tcPr>
            <w:tcW w:w="211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C37B6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POM和ABS</w:t>
            </w:r>
          </w:p>
        </w:tc>
        <w:tc>
          <w:tcPr>
            <w:tcW w:w="21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D2CFB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POM和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316L</w:t>
            </w:r>
          </w:p>
        </w:tc>
      </w:tr>
      <w:tr w14:paraId="04BC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1D9DD5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测量原理</w:t>
            </w:r>
          </w:p>
        </w:tc>
        <w:tc>
          <w:tcPr>
            <w:tcW w:w="42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071DF2E">
            <w:pPr>
              <w:widowControl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铂电极法</w:t>
            </w:r>
          </w:p>
        </w:tc>
      </w:tr>
      <w:tr w14:paraId="78CF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BCE1EF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量程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与分辨率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8E76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00～+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00mV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0D52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1mV</w:t>
            </w:r>
          </w:p>
        </w:tc>
      </w:tr>
      <w:tr w14:paraId="08E9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7E1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精度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B651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±6mV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℃</w:t>
            </w:r>
          </w:p>
        </w:tc>
      </w:tr>
      <w:tr w14:paraId="2DA9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6C9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响应时间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T90)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1D06D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＜30s</w:t>
            </w:r>
          </w:p>
        </w:tc>
      </w:tr>
      <w:tr w14:paraId="0959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2B5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校准方式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C0B6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两点校准</w:t>
            </w:r>
          </w:p>
        </w:tc>
      </w:tr>
      <w:tr w14:paraId="3BAD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44B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清洁方式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BACD0D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76EB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9DD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温度补偿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FACD3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D8DB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314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输出方式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030128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RS-485(Modbus/RTU)</w:t>
            </w:r>
          </w:p>
        </w:tc>
      </w:tr>
      <w:tr w14:paraId="13B0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1D1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存储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温度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AB87ED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-5～65℃</w:t>
            </w:r>
          </w:p>
        </w:tc>
      </w:tr>
      <w:tr w14:paraId="6C65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19E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89E76A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0～50℃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0.2MPa</w:t>
            </w:r>
          </w:p>
        </w:tc>
      </w:tr>
      <w:tr w14:paraId="1CF18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D09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安装方式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29B29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沉入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式安装，3/4NPT</w:t>
            </w:r>
          </w:p>
        </w:tc>
      </w:tr>
      <w:tr w14:paraId="0A2D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B59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功耗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0F65A4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W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@12V</w:t>
            </w:r>
          </w:p>
        </w:tc>
      </w:tr>
      <w:tr w14:paraId="5030D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8D5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7" w:name="_Toc525914235"/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供电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C7CAA0A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24VDC</w:t>
            </w:r>
          </w:p>
        </w:tc>
      </w:tr>
      <w:tr w14:paraId="17CA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F00B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防护等级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53DB602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IP68</w:t>
            </w:r>
          </w:p>
        </w:tc>
      </w:tr>
      <w:tr w14:paraId="297DF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FE4521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线缆长度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0DBB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5米，其它长度可定制</w:t>
            </w:r>
          </w:p>
        </w:tc>
      </w:tr>
    </w:tbl>
    <w:p w14:paraId="40F27D33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highlight w:val="none"/>
        </w:rPr>
      </w:pPr>
    </w:p>
    <w:p w14:paraId="7C7D5653">
      <w:pPr>
        <w:pStyle w:val="4"/>
        <w:numPr>
          <w:ilvl w:val="0"/>
          <w:numId w:val="4"/>
        </w:numPr>
        <w:spacing w:before="0" w:after="156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尺寸图</w:t>
      </w:r>
      <w:bookmarkEnd w:id="7"/>
    </w:p>
    <w:p w14:paraId="5AB71E26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drawing>
          <wp:inline distT="0" distB="0" distL="0" distR="0">
            <wp:extent cx="6188710" cy="22910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18A05">
      <w:pPr>
        <w:widowControl/>
        <w:ind w:firstLine="720" w:firstLineChars="300"/>
        <w:jc w:val="left"/>
        <w:rPr>
          <w:rFonts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>注：传感器接头为M16-5芯防水接头公头</w:t>
      </w:r>
    </w:p>
    <w:p w14:paraId="23318002">
      <w:pPr>
        <w:jc w:val="center"/>
        <w:rPr>
          <w:rFonts w:ascii="Times New Roman" w:hAnsi="Times New Roman" w:eastAsia="宋体" w:cs="Times New Roman"/>
          <w:highlight w:val="none"/>
        </w:rPr>
      </w:pPr>
    </w:p>
    <w:p w14:paraId="181B3BFC">
      <w:pPr>
        <w:pStyle w:val="3"/>
        <w:numPr>
          <w:ilvl w:val="0"/>
          <w:numId w:val="2"/>
        </w:numPr>
        <w:spacing w:before="0" w:after="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8" w:name="_Toc525914236"/>
      <w:r>
        <w:rPr>
          <w:rFonts w:ascii="Times New Roman" w:hAnsi="Times New Roman" w:eastAsia="宋体" w:cs="Times New Roman"/>
          <w:highlight w:val="none"/>
        </w:rPr>
        <w:t>安装和电气连接</w:t>
      </w:r>
      <w:bookmarkEnd w:id="8"/>
    </w:p>
    <w:p w14:paraId="066E133E">
      <w:pPr>
        <w:pStyle w:val="4"/>
        <w:numPr>
          <w:ilvl w:val="0"/>
          <w:numId w:val="5"/>
        </w:numPr>
        <w:spacing w:before="0" w:after="0" w:line="240" w:lineRule="auto"/>
        <w:ind w:left="0" w:firstLine="323"/>
        <w:jc w:val="left"/>
        <w:rPr>
          <w:rFonts w:ascii="Times New Roman" w:hAnsi="Times New Roman" w:eastAsia="宋体" w:cs="Times New Roman"/>
          <w:highlight w:val="none"/>
        </w:rPr>
      </w:pPr>
      <w:bookmarkStart w:id="9" w:name="_Toc525914237"/>
      <w:r>
        <w:rPr>
          <w:rFonts w:ascii="Times New Roman" w:hAnsi="Times New Roman" w:eastAsia="宋体" w:cs="Times New Roman"/>
          <w:sz w:val="28"/>
          <w:szCs w:val="28"/>
          <w:highlight w:val="none"/>
        </w:rPr>
        <w:t>安装</w:t>
      </w:r>
      <w:bookmarkEnd w:id="9"/>
    </w:p>
    <w:p w14:paraId="04F89DD9">
      <w:pPr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224790</wp:posOffset>
            </wp:positionV>
            <wp:extent cx="5610225" cy="2465070"/>
            <wp:effectExtent l="0" t="0" r="9525" b="11430"/>
            <wp:wrapSquare wrapText="right"/>
            <wp:docPr id="18" name="Picture 192" descr="PH电极常用安装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92" descr="PH电极常用安装方法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FDAE7B">
      <w:pPr>
        <w:rPr>
          <w:rFonts w:ascii="Times New Roman" w:hAnsi="Times New Roman" w:eastAsia="宋体" w:cs="Times New Roman"/>
          <w:highlight w:val="none"/>
        </w:rPr>
      </w:pPr>
    </w:p>
    <w:p w14:paraId="72F263CD">
      <w:pPr>
        <w:rPr>
          <w:rFonts w:ascii="Times New Roman" w:hAnsi="Times New Roman" w:eastAsia="宋体" w:cs="Times New Roman"/>
          <w:highlight w:val="none"/>
        </w:rPr>
      </w:pPr>
    </w:p>
    <w:p w14:paraId="5BD309D3">
      <w:pPr>
        <w:rPr>
          <w:rFonts w:ascii="Times New Roman" w:hAnsi="Times New Roman" w:eastAsia="宋体" w:cs="Times New Roman"/>
          <w:highlight w:val="none"/>
        </w:rPr>
      </w:pPr>
    </w:p>
    <w:p w14:paraId="733638C2">
      <w:pPr>
        <w:rPr>
          <w:rFonts w:ascii="Times New Roman" w:hAnsi="Times New Roman" w:eastAsia="宋体" w:cs="Times New Roman"/>
          <w:highlight w:val="none"/>
        </w:rPr>
      </w:pPr>
    </w:p>
    <w:p w14:paraId="3EB7682F">
      <w:pPr>
        <w:rPr>
          <w:rFonts w:ascii="Times New Roman" w:hAnsi="Times New Roman" w:eastAsia="宋体" w:cs="Times New Roman"/>
          <w:highlight w:val="none"/>
        </w:rPr>
      </w:pPr>
    </w:p>
    <w:p w14:paraId="718D3953">
      <w:pPr>
        <w:rPr>
          <w:rFonts w:ascii="Times New Roman" w:hAnsi="Times New Roman" w:eastAsia="宋体" w:cs="Times New Roman"/>
          <w:highlight w:val="none"/>
        </w:rPr>
      </w:pPr>
    </w:p>
    <w:p w14:paraId="265EE843">
      <w:pPr>
        <w:rPr>
          <w:rFonts w:ascii="Times New Roman" w:hAnsi="Times New Roman" w:eastAsia="宋体" w:cs="Times New Roman"/>
          <w:highlight w:val="none"/>
        </w:rPr>
      </w:pPr>
    </w:p>
    <w:p w14:paraId="3ADE002E">
      <w:pPr>
        <w:rPr>
          <w:rFonts w:ascii="Times New Roman" w:hAnsi="Times New Roman" w:eastAsia="宋体" w:cs="Times New Roman"/>
          <w:highlight w:val="none"/>
        </w:rPr>
      </w:pPr>
    </w:p>
    <w:p w14:paraId="00FEB9BE">
      <w:pPr>
        <w:rPr>
          <w:rFonts w:ascii="Times New Roman" w:hAnsi="Times New Roman" w:eastAsia="宋体" w:cs="Times New Roman"/>
          <w:highlight w:val="none"/>
        </w:rPr>
      </w:pPr>
    </w:p>
    <w:p w14:paraId="40BDF499">
      <w:pPr>
        <w:rPr>
          <w:rFonts w:ascii="Times New Roman" w:hAnsi="Times New Roman" w:eastAsia="宋体" w:cs="Times New Roman"/>
          <w:highlight w:val="none"/>
        </w:rPr>
      </w:pPr>
    </w:p>
    <w:p w14:paraId="085C5A5E">
      <w:pPr>
        <w:rPr>
          <w:rFonts w:ascii="Times New Roman" w:hAnsi="Times New Roman" w:eastAsia="宋体" w:cs="Times New Roman"/>
          <w:highlight w:val="none"/>
        </w:rPr>
      </w:pPr>
    </w:p>
    <w:p w14:paraId="7BB37B37">
      <w:pPr>
        <w:rPr>
          <w:rFonts w:ascii="Times New Roman" w:hAnsi="Times New Roman" w:eastAsia="宋体" w:cs="Times New Roman"/>
          <w:highlight w:val="none"/>
        </w:rPr>
      </w:pPr>
    </w:p>
    <w:p w14:paraId="589A2BFC">
      <w:pPr>
        <w:pStyle w:val="20"/>
        <w:ind w:left="420" w:right="280"/>
        <w:rPr>
          <w:color w:val="auto"/>
          <w:highlight w:val="none"/>
        </w:rPr>
      </w:pPr>
    </w:p>
    <w:p w14:paraId="4DEA53EA">
      <w:pPr>
        <w:pStyle w:val="20"/>
        <w:ind w:left="420" w:right="280"/>
        <w:rPr>
          <w:color w:val="FF0000"/>
          <w:highlight w:val="none"/>
        </w:rPr>
      </w:pPr>
      <w:r>
        <w:rPr>
          <w:color w:val="auto"/>
          <w:highlight w:val="none"/>
        </w:rPr>
        <w:t>注意：传感器安装时不能倒置或水平安装，至少倾斜15度角以上安装。</w:t>
      </w:r>
    </w:p>
    <w:p w14:paraId="3DF66275">
      <w:pPr>
        <w:pStyle w:val="4"/>
        <w:numPr>
          <w:ilvl w:val="0"/>
          <w:numId w:val="5"/>
        </w:numPr>
        <w:spacing w:before="0" w:after="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10" w:name="_Toc525914238"/>
      <w:r>
        <w:rPr>
          <w:rFonts w:ascii="Times New Roman" w:hAnsi="Times New Roman" w:eastAsia="宋体" w:cs="Times New Roman"/>
          <w:sz w:val="28"/>
          <w:szCs w:val="28"/>
          <w:highlight w:val="none"/>
        </w:rPr>
        <w:t>电气连接</w:t>
      </w:r>
      <w:bookmarkEnd w:id="10"/>
    </w:p>
    <w:p w14:paraId="706E2D50">
      <w:pPr>
        <w:ind w:firstLine="484" w:firstLineChars="202"/>
        <w:rPr>
          <w:rFonts w:ascii="Times New Roman" w:hAnsi="Times New Roman"/>
          <w:sz w:val="24"/>
          <w:highlight w:val="none"/>
        </w:rPr>
      </w:pPr>
      <w:bookmarkStart w:id="11" w:name="_Hlk106785706"/>
      <w:bookmarkStart w:id="12" w:name="_Toc525914239"/>
      <w:bookmarkStart w:id="13" w:name="_Toc494117817"/>
      <w:r>
        <w:rPr>
          <w:rFonts w:ascii="Times New Roman" w:hAnsi="Times New Roman" w:eastAsia="宋体" w:cs="Times New Roman"/>
          <w:sz w:val="24"/>
          <w:highlight w:val="none"/>
        </w:rPr>
        <w:t>线缆为4芯双绞屏蔽线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，</w:t>
      </w:r>
      <w:r>
        <w:rPr>
          <w:rFonts w:ascii="Times New Roman" w:hAnsi="Times New Roman"/>
          <w:sz w:val="24"/>
          <w:highlight w:val="none"/>
        </w:rPr>
        <w:t>线序定义：</w:t>
      </w:r>
    </w:p>
    <w:p w14:paraId="66ADF92D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红色线—电源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正极</w:t>
      </w:r>
      <w:r>
        <w:rPr>
          <w:rFonts w:ascii="Times New Roman" w:hAnsi="Times New Roman"/>
          <w:sz w:val="24"/>
          <w:highlight w:val="none"/>
        </w:rPr>
        <w:t>（12～24VDC）</w:t>
      </w:r>
    </w:p>
    <w:p w14:paraId="7BB72CEC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黑色线—地线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负极</w:t>
      </w:r>
      <w:r>
        <w:rPr>
          <w:rFonts w:ascii="Times New Roman" w:hAnsi="Times New Roman"/>
          <w:sz w:val="24"/>
          <w:highlight w:val="none"/>
        </w:rPr>
        <w:t>（GND）</w:t>
      </w:r>
    </w:p>
    <w:p w14:paraId="36A967FE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蓝色线—485A</w:t>
      </w:r>
    </w:p>
    <w:p w14:paraId="3FF364A3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bookmarkStart w:id="14" w:name="_Toc496261164"/>
      <w:bookmarkStart w:id="15" w:name="_Toc494377400"/>
      <w:r>
        <w:rPr>
          <w:rFonts w:hint="eastAsia" w:ascii="Times New Roman" w:hAnsi="Times New Roman"/>
          <w:sz w:val="24"/>
          <w:highlight w:val="none"/>
        </w:rPr>
        <w:t>白</w:t>
      </w:r>
      <w:r>
        <w:rPr>
          <w:rFonts w:ascii="Times New Roman" w:hAnsi="Times New Roman"/>
          <w:sz w:val="24"/>
          <w:highlight w:val="none"/>
        </w:rPr>
        <w:t>色线—485B</w:t>
      </w:r>
    </w:p>
    <w:p w14:paraId="42E32D03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黄色线—电流输出（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选配电流输出为5芯屏蔽线</w:t>
      </w:r>
      <w:r>
        <w:rPr>
          <w:rFonts w:ascii="Times New Roman" w:hAnsi="Times New Roman"/>
          <w:sz w:val="24"/>
          <w:highlight w:val="none"/>
        </w:rPr>
        <w:t>）</w:t>
      </w:r>
    </w:p>
    <w:p w14:paraId="0C787316">
      <w:pPr>
        <w:pStyle w:val="19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通电前应仔细检查接线顺序，避免因接线错误而造成不必要的损失。</w:t>
      </w:r>
    </w:p>
    <w:p w14:paraId="377F5175">
      <w:pPr>
        <w:pStyle w:val="19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接线说明：</w:t>
      </w:r>
      <w:r>
        <w:rPr>
          <w:rFonts w:ascii="Times New Roman" w:hAnsi="Times New Roman"/>
          <w:sz w:val="24"/>
          <w:highlight w:val="none"/>
        </w:rPr>
        <w:t>考虑到线缆长期浸泡在水中（包括海水）或暴露在空气中，所有接线处均要求做防水处理，用户线缆应具有一定的防腐蚀能力。</w:t>
      </w:r>
      <w:bookmarkEnd w:id="14"/>
      <w:bookmarkEnd w:id="15"/>
      <w:r>
        <w:rPr>
          <w:rFonts w:ascii="Times New Roman" w:hAnsi="Times New Roman"/>
          <w:sz w:val="24"/>
          <w:highlight w:val="none"/>
        </w:rPr>
        <w:t xml:space="preserve"> </w:t>
      </w:r>
    </w:p>
    <w:bookmarkEnd w:id="11"/>
    <w:p w14:paraId="53EAB312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维护和保养</w:t>
      </w:r>
      <w:bookmarkEnd w:id="12"/>
      <w:bookmarkEnd w:id="13"/>
    </w:p>
    <w:p w14:paraId="5E1371AE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6" w:name="_Toc525914240"/>
      <w:r>
        <w:rPr>
          <w:rFonts w:ascii="Times New Roman" w:hAnsi="Times New Roman"/>
          <w:b/>
          <w:szCs w:val="28"/>
          <w:highlight w:val="none"/>
        </w:rPr>
        <w:t>使用和保养</w:t>
      </w:r>
      <w:bookmarkEnd w:id="16"/>
    </w:p>
    <w:p w14:paraId="22533A46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ORP电极在测量时，应先在蒸馏水中（或去离子水中）清洗干净，并用滤纸吸干水分，防止杂质带进被测液中，电极的1/3应插入被测溶液中。</w:t>
      </w:r>
    </w:p>
    <w:p w14:paraId="17F4D552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电极不用时应洗净，插入加有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mol/L氯化钾溶液的保护套,或将电极插进加有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mol/L氯化钾溶液的容器中。</w:t>
      </w:r>
    </w:p>
    <w:p w14:paraId="50D49B69">
      <w:pPr>
        <w:widowControl/>
        <w:ind w:firstLine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检查接线端子处是否干燥，如有沾污，请用无水酒精擦拭，吹干后使用。应避免长期浸泡在蒸馏水或蛋白质溶液中，并防止与有机硅油脂接触。使用时间较长的电极，可用稀盐酸洗涤，并用水冲洗。电极使用时间较长，出现测量误差时，须配合仪表进行标定，进行校正。</w:t>
      </w:r>
    </w:p>
    <w:p w14:paraId="4B8BB4D3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当用以上方式对电极进行维护和保养时仍不能进行标定和测量时，说明电极已经失效，请更换电极。</w:t>
      </w:r>
    </w:p>
    <w:p w14:paraId="3F61225D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7" w:name="_Toc525914241"/>
      <w:r>
        <w:rPr>
          <w:rFonts w:ascii="Times New Roman" w:hAnsi="Times New Roman"/>
          <w:b/>
          <w:szCs w:val="28"/>
          <w:highlight w:val="none"/>
        </w:rPr>
        <w:t>ORP标准溶液配</w:t>
      </w:r>
      <w:bookmarkStart w:id="42" w:name="_GoBack"/>
      <w:bookmarkEnd w:id="42"/>
      <w:r>
        <w:rPr>
          <w:rFonts w:ascii="Times New Roman" w:hAnsi="Times New Roman"/>
          <w:b/>
          <w:szCs w:val="28"/>
          <w:highlight w:val="none"/>
        </w:rPr>
        <w:t>制方法</w:t>
      </w:r>
      <w:bookmarkEnd w:id="17"/>
    </w:p>
    <w:p w14:paraId="456E4464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ORP标准溶液256mV配制方法</w:t>
      </w:r>
    </w:p>
    <w:p w14:paraId="31DF00C0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称取2.1g醌氢醌加到200mL的pH值为4.00的标准pH缓冲溶液中，混匀。</w:t>
      </w:r>
    </w:p>
    <w:p w14:paraId="6FC39F56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ORP标准溶液86mV配制方法</w:t>
      </w:r>
    </w:p>
    <w:p w14:paraId="1EBB0625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称取2.1g醌氢醌加到200mL的pH值为6.86的标准pH缓冲溶液中，混匀。</w:t>
      </w:r>
    </w:p>
    <w:p w14:paraId="43F69628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ORP标准溶液-40mV配制方法</w:t>
      </w:r>
    </w:p>
    <w:p w14:paraId="03E35E2F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称取2.1g醌氢醌加到200mL的pH值为9.18的标准pH缓冲溶液中，混匀。</w:t>
      </w:r>
    </w:p>
    <w:p w14:paraId="736ACFB3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注意配制pH时是一共配制250mL，量取200mL待用。</w:t>
      </w:r>
    </w:p>
    <w:p w14:paraId="63861A27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pH配制相应标准液方法：</w:t>
      </w:r>
    </w:p>
    <w:p w14:paraId="5EDA16DA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用量筒量取250mL的蒸馏水，倒入烧杯中，加入pH=6.86/4.00/9.18的校准粉一包，用玻璃棒搅拌均匀，直至粉末完全溶解，配制成pH=6.86/4.00/9.18的溶液。</w:t>
      </w:r>
    </w:p>
    <w:p w14:paraId="04C2F22F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8" w:name="_Toc525914242"/>
      <w:r>
        <w:rPr>
          <w:rFonts w:ascii="Times New Roman" w:hAnsi="Times New Roman"/>
          <w:b/>
          <w:szCs w:val="28"/>
          <w:highlight w:val="none"/>
        </w:rPr>
        <w:t>校准</w:t>
      </w:r>
      <w:bookmarkEnd w:id="18"/>
    </w:p>
    <w:p w14:paraId="732CC428">
      <w:pPr>
        <w:widowControl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将传感器放入配制好的86mV（或256mV或-40mV）溶液中，等待3～5分钟，待数值稳定后看显示的数值是否是86mV（或256mV或-40mV)，如果不是则需进行校准。校准指令见附录。</w:t>
      </w:r>
    </w:p>
    <w:p w14:paraId="1D89F890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9" w:name="_Toc494117818"/>
      <w:bookmarkStart w:id="20" w:name="_Toc525914243"/>
      <w:r>
        <w:rPr>
          <w:rFonts w:ascii="Times New Roman" w:hAnsi="Times New Roman" w:eastAsia="宋体" w:cs="Times New Roman"/>
          <w:highlight w:val="none"/>
        </w:rPr>
        <w:t>质量和服务</w:t>
      </w:r>
      <w:bookmarkEnd w:id="19"/>
      <w:bookmarkEnd w:id="20"/>
    </w:p>
    <w:p w14:paraId="165E340C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1" w:name="_Toc525914244"/>
      <w:bookmarkStart w:id="22" w:name="_Toc492393682"/>
      <w:r>
        <w:rPr>
          <w:rFonts w:ascii="Times New Roman" w:hAnsi="Times New Roman"/>
          <w:b/>
          <w:kern w:val="0"/>
          <w:szCs w:val="28"/>
          <w:highlight w:val="none"/>
        </w:rPr>
        <w:t>质量保证</w:t>
      </w:r>
      <w:bookmarkEnd w:id="21"/>
      <w:bookmarkEnd w:id="22"/>
    </w:p>
    <w:p w14:paraId="397D5559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质检部门有规范的检验规程，具备先进完善的检测设备和手段，并严格按照规程检验，对产品做72小时老化实验、稳定性实验，不让一支不合格产品出厂。</w:t>
      </w:r>
    </w:p>
    <w:p w14:paraId="3FA3F1E2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收货方对不合格率达到2%的产品批次直接退回，所有产生的费用由供货方承担。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检测</w:t>
      </w: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标准参考供货方提供的产品说明。</w:t>
      </w:r>
    </w:p>
    <w:p w14:paraId="5A0CF75F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保证货源数量和出货速度。</w:t>
      </w:r>
    </w:p>
    <w:p w14:paraId="312AEBFC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3" w:name="_Toc8014"/>
      <w:bookmarkStart w:id="24" w:name="_Toc492393683"/>
      <w:bookmarkStart w:id="25" w:name="_Toc26673"/>
      <w:bookmarkStart w:id="26" w:name="_Toc452497955"/>
      <w:bookmarkStart w:id="27" w:name="_Toc446678251"/>
      <w:bookmarkStart w:id="28" w:name="_Toc525914245"/>
      <w:bookmarkStart w:id="29" w:name="_Toc453839765"/>
      <w:bookmarkStart w:id="30" w:name="_Toc427659760"/>
      <w:r>
        <w:rPr>
          <w:rFonts w:ascii="Times New Roman" w:hAnsi="Times New Roman"/>
          <w:b/>
          <w:kern w:val="0"/>
          <w:szCs w:val="28"/>
          <w:highlight w:val="none"/>
        </w:rPr>
        <w:t>配件和备件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58B71A90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此产品包括：</w:t>
      </w:r>
    </w:p>
    <w:p w14:paraId="3667A064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传感器1支</w:t>
      </w:r>
    </w:p>
    <w:p w14:paraId="3BE5EC3A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说明书1份</w:t>
      </w:r>
    </w:p>
    <w:p w14:paraId="2ED687D1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合格证1张</w:t>
      </w:r>
    </w:p>
    <w:p w14:paraId="05EDA839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线缆1根（5米）</w:t>
      </w:r>
    </w:p>
    <w:p w14:paraId="58895729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31" w:name="_Toc492393684"/>
      <w:bookmarkStart w:id="32" w:name="_Toc19215"/>
      <w:bookmarkStart w:id="33" w:name="_Toc452497956"/>
      <w:bookmarkStart w:id="34" w:name="_Toc453839766"/>
      <w:bookmarkStart w:id="35" w:name="_Toc525914246"/>
      <w:r>
        <w:rPr>
          <w:rFonts w:ascii="Times New Roman" w:hAnsi="Times New Roman"/>
          <w:b/>
          <w:kern w:val="0"/>
          <w:szCs w:val="28"/>
          <w:highlight w:val="none"/>
        </w:rPr>
        <w:t>售后服务承诺</w:t>
      </w:r>
      <w:bookmarkEnd w:id="30"/>
      <w:bookmarkEnd w:id="31"/>
      <w:bookmarkEnd w:id="32"/>
      <w:bookmarkEnd w:id="33"/>
      <w:bookmarkEnd w:id="34"/>
      <w:bookmarkEnd w:id="35"/>
    </w:p>
    <w:p w14:paraId="5C16BA7E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bookmarkStart w:id="36" w:name="OLE_LINK9"/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本公司提供自销售日起一年内的本机售后服务，但不包括不当使用所造成的损坏，若需要维修或调整，请寄回，但运费需自负，寄回时需确定包装良好以避免运送途中损坏，本公司将免费维修仪器的损坏。</w:t>
      </w:r>
      <w:bookmarkEnd w:id="36"/>
    </w:p>
    <w:p w14:paraId="428B15EE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</w:p>
    <w:p w14:paraId="49BE35A4">
      <w:pPr>
        <w:widowControl/>
        <w:jc w:val="left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br w:type="page"/>
      </w:r>
    </w:p>
    <w:p w14:paraId="3608F29C">
      <w:pPr>
        <w:pStyle w:val="3"/>
        <w:spacing w:before="156" w:beforeLines="50" w:after="156" w:afterLines="50" w:line="240" w:lineRule="auto"/>
        <w:ind w:left="323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37" w:name="_Toc525914247"/>
      <w:r>
        <w:rPr>
          <w:rFonts w:ascii="Times New Roman" w:hAnsi="Times New Roman" w:eastAsia="宋体" w:cs="Times New Roman"/>
          <w:sz w:val="28"/>
          <w:szCs w:val="28"/>
          <w:highlight w:val="none"/>
        </w:rPr>
        <w:t>附录 数据通讯</w:t>
      </w:r>
      <w:bookmarkEnd w:id="37"/>
    </w:p>
    <w:p w14:paraId="54F9DA04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bookmarkStart w:id="38" w:name="OLE_LINK4"/>
      <w:r>
        <w:rPr>
          <w:rFonts w:ascii="Times New Roman" w:hAnsi="Times New Roman"/>
          <w:b/>
          <w:kern w:val="0"/>
          <w:sz w:val="24"/>
          <w:highlight w:val="none"/>
        </w:rPr>
        <w:t>数据格式</w:t>
      </w:r>
    </w:p>
    <w:bookmarkEnd w:id="38"/>
    <w:p w14:paraId="41EA3B45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Modbus通信默认的数据格式为：9600、n、8、1（波特率9600bps，1个起始位，8个数据位，无校验，1个停止位）。</w:t>
      </w:r>
    </w:p>
    <w:p w14:paraId="08B768C0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波特率等参数可以定制。</w:t>
      </w:r>
    </w:p>
    <w:p w14:paraId="0820C3EE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信息帧格式</w:t>
      </w:r>
    </w:p>
    <w:p w14:paraId="4E8520D1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读数据指令帧</w:t>
      </w:r>
    </w:p>
    <w:p w14:paraId="583EE8BD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271D7CE1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寄存器数量     CRC校验码（低字节在前）</w:t>
      </w:r>
    </w:p>
    <w:p w14:paraId="27DEB174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读数据应答帧</w:t>
      </w:r>
    </w:p>
    <w:p w14:paraId="1D7EC9A8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   xx……xx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71E2AB9D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字节数          应答数据       CRC校验码（低字节在前）</w:t>
      </w:r>
    </w:p>
    <w:p w14:paraId="6F5E1842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写数据指令帧</w:t>
      </w:r>
    </w:p>
    <w:p w14:paraId="2A0743C4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  xx           xx  xx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xx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</w:p>
    <w:p w14:paraId="0D7F295F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 CRC校验码（低字节在前）</w:t>
      </w:r>
    </w:p>
    <w:p w14:paraId="2014702E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写数据应答帧（同写数据指令帧）</w:t>
      </w:r>
    </w:p>
    <w:p w14:paraId="121D7210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</w:p>
    <w:p w14:paraId="7A3A28DD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 CRC校验码（低字节在前）</w:t>
      </w:r>
    </w:p>
    <w:p w14:paraId="1AF2542F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寄存器地址</w:t>
      </w:r>
    </w:p>
    <w:tbl>
      <w:tblPr>
        <w:tblStyle w:val="12"/>
        <w:tblW w:w="905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25"/>
        <w:gridCol w:w="3261"/>
        <w:gridCol w:w="1559"/>
        <w:gridCol w:w="1276"/>
      </w:tblGrid>
      <w:tr w14:paraId="189E79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6BE7C4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寄存器地址</w:t>
            </w:r>
          </w:p>
        </w:tc>
        <w:tc>
          <w:tcPr>
            <w:tcW w:w="1425" w:type="dxa"/>
            <w:tcBorders>
              <w:top w:val="single" w:color="auto" w:sz="6" w:space="0"/>
            </w:tcBorders>
            <w:vAlign w:val="center"/>
          </w:tcPr>
          <w:p w14:paraId="2E407524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名称</w:t>
            </w:r>
          </w:p>
        </w:tc>
        <w:tc>
          <w:tcPr>
            <w:tcW w:w="3261" w:type="dxa"/>
            <w:tcBorders>
              <w:top w:val="single" w:color="auto" w:sz="6" w:space="0"/>
            </w:tcBorders>
            <w:vAlign w:val="center"/>
          </w:tcPr>
          <w:p w14:paraId="44500AB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说明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 w14:paraId="1C81011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寄存器个数</w:t>
            </w: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35DAC7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访问方式</w:t>
            </w:r>
          </w:p>
        </w:tc>
      </w:tr>
      <w:tr w14:paraId="5258C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1EADC16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40001</w:t>
            </w:r>
          </w:p>
          <w:p w14:paraId="7831B51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(0x0000)</w:t>
            </w:r>
          </w:p>
        </w:tc>
        <w:tc>
          <w:tcPr>
            <w:tcW w:w="1425" w:type="dxa"/>
            <w:vAlign w:val="center"/>
          </w:tcPr>
          <w:p w14:paraId="7F7299C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测量值</w:t>
            </w:r>
          </w:p>
        </w:tc>
        <w:tc>
          <w:tcPr>
            <w:tcW w:w="3261" w:type="dxa"/>
          </w:tcPr>
          <w:p w14:paraId="430F6C02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2个双字节整数，分别为测量值、测量值小数位数。</w:t>
            </w:r>
          </w:p>
        </w:tc>
        <w:tc>
          <w:tcPr>
            <w:tcW w:w="1559" w:type="dxa"/>
            <w:vAlign w:val="center"/>
          </w:tcPr>
          <w:p w14:paraId="27D757D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2（4字节）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59D5986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</w:t>
            </w:r>
          </w:p>
        </w:tc>
      </w:tr>
      <w:tr w14:paraId="7B0CC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5017F1C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400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</w:t>
            </w:r>
          </w:p>
          <w:p w14:paraId="7B2E3AC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(0x00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0)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6FEF04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ORP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测量值+温度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4063C5">
            <w:pPr>
              <w:widowControl/>
              <w:spacing w:line="400" w:lineRule="atLeas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个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单精度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浮点数（CDAB），分别为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ORP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测量值。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209A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5ADD27A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读</w:t>
            </w:r>
          </w:p>
        </w:tc>
      </w:tr>
      <w:tr w14:paraId="4DC59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3B9B8D7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44097</w:t>
            </w:r>
          </w:p>
          <w:p w14:paraId="1C91B3F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(0x1000)</w:t>
            </w:r>
          </w:p>
        </w:tc>
        <w:tc>
          <w:tcPr>
            <w:tcW w:w="1425" w:type="dxa"/>
            <w:vAlign w:val="center"/>
          </w:tcPr>
          <w:p w14:paraId="2C12EB5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零点校准</w:t>
            </w:r>
          </w:p>
        </w:tc>
        <w:tc>
          <w:tcPr>
            <w:tcW w:w="3261" w:type="dxa"/>
          </w:tcPr>
          <w:p w14:paraId="0C810254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在标准溶液中校准，写入数据为标准溶液实际值。</w:t>
            </w:r>
          </w:p>
        </w:tc>
        <w:tc>
          <w:tcPr>
            <w:tcW w:w="1559" w:type="dxa"/>
            <w:vAlign w:val="center"/>
          </w:tcPr>
          <w:p w14:paraId="3CF3007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732D3A2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写</w:t>
            </w:r>
          </w:p>
        </w:tc>
      </w:tr>
      <w:tr w14:paraId="76DF4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5E45DB99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44101</w:t>
            </w:r>
          </w:p>
          <w:p w14:paraId="0B62517A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(0x1004)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316FD58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斜率校准</w:t>
            </w:r>
          </w:p>
        </w:tc>
        <w:tc>
          <w:tcPr>
            <w:tcW w:w="3261" w:type="dxa"/>
            <w:shd w:val="clear" w:color="auto" w:fill="auto"/>
            <w:vAlign w:val="top"/>
          </w:tcPr>
          <w:p w14:paraId="1709BBE0">
            <w:pPr>
              <w:spacing w:line="400" w:lineRule="atLeast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在标准溶液中校准，写入数据为标准溶液实际值。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4238C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042F8BE1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写/读</w:t>
            </w:r>
          </w:p>
        </w:tc>
      </w:tr>
      <w:tr w14:paraId="2B317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59F2E50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44103</w:t>
            </w:r>
          </w:p>
          <w:p w14:paraId="0D4C300F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(0x1006)</w:t>
            </w:r>
          </w:p>
        </w:tc>
        <w:tc>
          <w:tcPr>
            <w:tcW w:w="1425" w:type="dxa"/>
            <w:vAlign w:val="center"/>
          </w:tcPr>
          <w:p w14:paraId="40549E64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零点校准值</w:t>
            </w:r>
          </w:p>
        </w:tc>
        <w:tc>
          <w:tcPr>
            <w:tcW w:w="3261" w:type="dxa"/>
            <w:vAlign w:val="center"/>
          </w:tcPr>
          <w:p w14:paraId="0B6F7B5F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读出数据为零点偏移量。</w:t>
            </w:r>
          </w:p>
        </w:tc>
        <w:tc>
          <w:tcPr>
            <w:tcW w:w="1559" w:type="dxa"/>
            <w:vAlign w:val="center"/>
          </w:tcPr>
          <w:p w14:paraId="657D0C14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6702DF5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</w:t>
            </w:r>
          </w:p>
        </w:tc>
      </w:tr>
      <w:tr w14:paraId="3DE5E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6999B88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48195</w:t>
            </w:r>
          </w:p>
          <w:p w14:paraId="7F03179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(0x2002)</w:t>
            </w:r>
          </w:p>
        </w:tc>
        <w:tc>
          <w:tcPr>
            <w:tcW w:w="1425" w:type="dxa"/>
            <w:vAlign w:val="center"/>
          </w:tcPr>
          <w:p w14:paraId="1228FC6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传感器地址</w:t>
            </w:r>
          </w:p>
        </w:tc>
        <w:tc>
          <w:tcPr>
            <w:tcW w:w="3261" w:type="dxa"/>
          </w:tcPr>
          <w:p w14:paraId="1B9C5A0B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默认为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，写入数据范围1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。</w:t>
            </w:r>
          </w:p>
        </w:tc>
        <w:tc>
          <w:tcPr>
            <w:tcW w:w="1559" w:type="dxa"/>
            <w:vAlign w:val="center"/>
          </w:tcPr>
          <w:p w14:paraId="631DE13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3B473F2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写/读</w:t>
            </w:r>
          </w:p>
        </w:tc>
      </w:tr>
      <w:tr w14:paraId="291B87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2ECB4B28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48196</w:t>
            </w:r>
          </w:p>
          <w:p w14:paraId="6BEDCC67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(0x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2003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425" w:type="dxa"/>
            <w:vAlign w:val="center"/>
          </w:tcPr>
          <w:p w14:paraId="2982CF98"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波特率</w:t>
            </w:r>
          </w:p>
        </w:tc>
        <w:tc>
          <w:tcPr>
            <w:tcW w:w="3261" w:type="dxa"/>
            <w:vAlign w:val="top"/>
          </w:tcPr>
          <w:p w14:paraId="3FB63B2D">
            <w:pPr>
              <w:widowControl/>
              <w:spacing w:line="400" w:lineRule="atLeas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默认为 9600。0--9600，</w:t>
            </w:r>
          </w:p>
          <w:p w14:paraId="35B2DE7D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1--19200。</w:t>
            </w:r>
          </w:p>
        </w:tc>
        <w:tc>
          <w:tcPr>
            <w:tcW w:w="1559" w:type="dxa"/>
            <w:vAlign w:val="center"/>
          </w:tcPr>
          <w:p w14:paraId="6A2885B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446AF35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写/读</w:t>
            </w:r>
          </w:p>
        </w:tc>
      </w:tr>
    </w:tbl>
    <w:p w14:paraId="63697903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命令示例</w:t>
      </w:r>
    </w:p>
    <w:p w14:paraId="465B3D72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开始测量指令</w:t>
      </w:r>
    </w:p>
    <w:p w14:paraId="53948F1A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作用：获取传感器测量的ORP，ORP的单位为mV。</w:t>
      </w:r>
    </w:p>
    <w:p w14:paraId="762DE862">
      <w:pPr>
        <w:pStyle w:val="19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UINT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：</w:t>
      </w:r>
    </w:p>
    <w:p w14:paraId="78D73E32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03 00 00 00 02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C4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5E</w:t>
      </w:r>
    </w:p>
    <w:p w14:paraId="45F76BA8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03 04 00 78 00 00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2F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2A</w:t>
      </w:r>
    </w:p>
    <w:p w14:paraId="3379DA83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读数示例：</w:t>
      </w:r>
    </w:p>
    <w:tbl>
      <w:tblPr>
        <w:tblStyle w:val="11"/>
        <w:tblpPr w:leftFromText="180" w:rightFromText="180" w:vertAnchor="text" w:horzAnchor="page" w:tblpX="3227" w:tblpY="44"/>
        <w:tblOverlap w:val="never"/>
        <w:tblW w:w="2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</w:tblGrid>
      <w:tr w14:paraId="5609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5F823879">
            <w:pPr>
              <w:pStyle w:val="22"/>
              <w:ind w:left="-71" w:leftChars="-34"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ORP值</w:t>
            </w:r>
          </w:p>
        </w:tc>
      </w:tr>
      <w:tr w14:paraId="5508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583A08">
            <w:pPr>
              <w:pStyle w:val="22"/>
              <w:ind w:left="-71" w:leftChars="-34" w:firstLine="360" w:firstLineChars="15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00 78 00 00</w:t>
            </w:r>
          </w:p>
        </w:tc>
      </w:tr>
    </w:tbl>
    <w:p w14:paraId="0ADAE38D">
      <w:pPr>
        <w:pStyle w:val="22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561C72CC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69E0C242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78546E28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如，ORP值： 00 78 表示十六进制读数ORP值，00 00 表示ORP数值不带小数点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，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转换成十进制数值为120。</w:t>
      </w:r>
    </w:p>
    <w:p w14:paraId="2F76EB57">
      <w:pPr>
        <w:pStyle w:val="19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Float：</w:t>
      </w:r>
    </w:p>
    <w:p w14:paraId="367FAF99">
      <w:pPr>
        <w:pStyle w:val="22"/>
        <w:ind w:left="42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03 00 50 00 0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C4 4F</w:t>
      </w:r>
    </w:p>
    <w:p w14:paraId="7ACB6F2E">
      <w:pPr>
        <w:pStyle w:val="22"/>
        <w:ind w:left="42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41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08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9E A5</w:t>
      </w:r>
    </w:p>
    <w:p w14:paraId="41433A8F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读数示例：</w:t>
      </w:r>
    </w:p>
    <w:tbl>
      <w:tblPr>
        <w:tblStyle w:val="11"/>
        <w:tblW w:w="2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</w:tblGrid>
      <w:tr w14:paraId="156B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</w:tcBorders>
          </w:tcPr>
          <w:p w14:paraId="29AF44BF">
            <w:pPr>
              <w:pStyle w:val="22"/>
              <w:ind w:left="-71" w:leftChars="-34"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ORP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值</w:t>
            </w:r>
          </w:p>
        </w:tc>
      </w:tr>
      <w:tr w14:paraId="0475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5" w:type="dxa"/>
            <w:tcBorders>
              <w:left w:val="single" w:color="auto" w:sz="6" w:space="0"/>
              <w:bottom w:val="single" w:color="auto" w:sz="6" w:space="0"/>
            </w:tcBorders>
          </w:tcPr>
          <w:p w14:paraId="386BF7CE">
            <w:pPr>
              <w:pStyle w:val="22"/>
              <w:ind w:left="-71" w:leftChars="-34" w:firstLine="360" w:firstLineChars="15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bookmarkStart w:id="39" w:name="OLE_LINK5"/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00004108</w:t>
            </w:r>
            <w:bookmarkEnd w:id="39"/>
          </w:p>
        </w:tc>
      </w:tr>
    </w:tbl>
    <w:p w14:paraId="7402502D">
      <w:pPr>
        <w:pStyle w:val="22"/>
        <w:spacing w:beforeLines="50"/>
        <w:ind w:left="42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值：“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0000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4108</w:t>
      </w:r>
      <w:bookmarkStart w:id="40" w:name="OLE_LINK22"/>
      <w:bookmarkStart w:id="41" w:name="OLE_LINK23"/>
      <w:r>
        <w:rPr>
          <w:rFonts w:ascii="Times New Roman" w:hAnsi="Times New Roman" w:eastAsia="宋体" w:cs="Times New Roman"/>
          <w:sz w:val="24"/>
          <w:szCs w:val="24"/>
          <w:highlight w:val="none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按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CDAB解析为</w:t>
      </w:r>
      <w:bookmarkEnd w:id="40"/>
      <w:bookmarkEnd w:id="41"/>
      <w:r>
        <w:rPr>
          <w:rFonts w:ascii="Times New Roman" w:hAnsi="Times New Roman" w:eastAsia="宋体" w:cs="Times New Roman"/>
          <w:sz w:val="24"/>
          <w:szCs w:val="24"/>
          <w:highlight w:val="none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.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5。</w:t>
      </w:r>
    </w:p>
    <w:p w14:paraId="39B5BE6F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63C14F54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校准指令</w:t>
      </w:r>
    </w:p>
    <w:p w14:paraId="59F07BF3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ORP传感器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两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点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校准，在使用另一种校准液校准前，必须使用后一种校准液清洗电极，否则将引起较大的测试误差。</w:t>
      </w:r>
    </w:p>
    <w:p w14:paraId="0B5290B9">
      <w:pPr>
        <w:pStyle w:val="22"/>
        <w:ind w:left="420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szCs w:val="24"/>
          <w:highlight w:val="none"/>
        </w:rPr>
        <w:t>零点校准</w:t>
      </w:r>
    </w:p>
    <w:p w14:paraId="3C0C6791">
      <w:pPr>
        <w:pStyle w:val="22"/>
        <w:ind w:left="420"/>
        <w:rPr>
          <w:rFonts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零点校准值。在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-40mV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标准液中校准，示例如下：</w:t>
      </w:r>
    </w:p>
    <w:p w14:paraId="19F0CD0F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 06 10 00 FF D8 CC F5</w:t>
      </w:r>
    </w:p>
    <w:p w14:paraId="32341183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 06 10 00 FF D8 CC F5</w:t>
      </w:r>
    </w:p>
    <w:p w14:paraId="72E54EB1">
      <w:pPr>
        <w:pStyle w:val="22"/>
        <w:ind w:left="420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szCs w:val="24"/>
          <w:highlight w:val="none"/>
        </w:rPr>
        <w:t>斜率校准</w:t>
      </w:r>
    </w:p>
    <w:p w14:paraId="383F7B6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斜率校准值。在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256mV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的标准液中校准，示例如下：</w:t>
      </w:r>
    </w:p>
    <w:p w14:paraId="0345C355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06 10 04 01 00 CD 0E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；</w:t>
      </w:r>
    </w:p>
    <w:p w14:paraId="59754311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06 10 04 01 00 CD 0E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59233E5B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注意：ORP值有负值，如-40mV其计算方法为：</w:t>
      </w:r>
    </w:p>
    <w:p w14:paraId="4219094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-｛FFFF-FFD7软件测试值）｝=-28；十进制即为-40mV。</w:t>
      </w:r>
    </w:p>
    <w:p w14:paraId="661957A0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设置设备ID地址</w:t>
      </w:r>
    </w:p>
    <w:p w14:paraId="66DAF62D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作用：设置传感器的Modbus设备地址；</w:t>
      </w:r>
    </w:p>
    <w:p w14:paraId="2D7A903B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将传感器地址0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改为01，范例如下</w:t>
      </w:r>
    </w:p>
    <w:p w14:paraId="570169DB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06 20 02 00 01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E2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5F</w:t>
      </w:r>
    </w:p>
    <w:p w14:paraId="05D1FC2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06 20 02 00 01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E2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5F</w:t>
      </w:r>
    </w:p>
    <w:p w14:paraId="3C936D12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错误响应</w:t>
      </w:r>
    </w:p>
    <w:p w14:paraId="23A13ADD">
      <w:pPr>
        <w:spacing w:after="156" w:afterLines="50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如果传感器不能正确执行上位机命令，则会返回如下格式信息：</w:t>
      </w:r>
    </w:p>
    <w:tbl>
      <w:tblPr>
        <w:tblStyle w:val="11"/>
        <w:tblW w:w="5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4"/>
        <w:gridCol w:w="1312"/>
        <w:gridCol w:w="1444"/>
        <w:gridCol w:w="1260"/>
      </w:tblGrid>
      <w:tr w14:paraId="6223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C122B6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定义</w:t>
            </w:r>
          </w:p>
        </w:tc>
        <w:tc>
          <w:tcPr>
            <w:tcW w:w="944" w:type="dxa"/>
            <w:tcBorders>
              <w:top w:val="single" w:color="auto" w:sz="6" w:space="0"/>
            </w:tcBorders>
            <w:vAlign w:val="center"/>
          </w:tcPr>
          <w:p w14:paraId="7E726C1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61409EF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功能码</w:t>
            </w:r>
          </w:p>
        </w:tc>
        <w:tc>
          <w:tcPr>
            <w:tcW w:w="1444" w:type="dxa"/>
            <w:tcBorders>
              <w:top w:val="single" w:color="auto" w:sz="6" w:space="0"/>
            </w:tcBorders>
            <w:vAlign w:val="center"/>
          </w:tcPr>
          <w:p w14:paraId="60C575B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CODE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A90638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CRC校验</w:t>
            </w:r>
          </w:p>
        </w:tc>
      </w:tr>
      <w:tr w14:paraId="1F42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</w:tcBorders>
            <w:vAlign w:val="center"/>
          </w:tcPr>
          <w:p w14:paraId="02159A2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数据</w:t>
            </w:r>
          </w:p>
        </w:tc>
        <w:tc>
          <w:tcPr>
            <w:tcW w:w="944" w:type="dxa"/>
            <w:vAlign w:val="center"/>
          </w:tcPr>
          <w:p w14:paraId="5ACDBD1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ADDR</w:t>
            </w:r>
          </w:p>
        </w:tc>
        <w:tc>
          <w:tcPr>
            <w:tcW w:w="1312" w:type="dxa"/>
            <w:vAlign w:val="center"/>
          </w:tcPr>
          <w:p w14:paraId="6548838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COM+80H</w:t>
            </w:r>
          </w:p>
        </w:tc>
        <w:tc>
          <w:tcPr>
            <w:tcW w:w="1444" w:type="dxa"/>
            <w:vAlign w:val="center"/>
          </w:tcPr>
          <w:p w14:paraId="1B82577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xx</w:t>
            </w: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5FBAC56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 16</w:t>
            </w:r>
          </w:p>
        </w:tc>
      </w:tr>
      <w:tr w14:paraId="7AD8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C485D9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字节数</w:t>
            </w:r>
          </w:p>
        </w:tc>
        <w:tc>
          <w:tcPr>
            <w:tcW w:w="944" w:type="dxa"/>
            <w:tcBorders>
              <w:bottom w:val="single" w:color="auto" w:sz="6" w:space="0"/>
            </w:tcBorders>
            <w:vAlign w:val="center"/>
          </w:tcPr>
          <w:p w14:paraId="47FEA50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2" w:type="dxa"/>
            <w:tcBorders>
              <w:bottom w:val="single" w:color="auto" w:sz="6" w:space="0"/>
            </w:tcBorders>
            <w:vAlign w:val="center"/>
          </w:tcPr>
          <w:p w14:paraId="4070A42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4" w:type="dxa"/>
            <w:tcBorders>
              <w:bottom w:val="single" w:color="auto" w:sz="6" w:space="0"/>
            </w:tcBorders>
            <w:vAlign w:val="center"/>
          </w:tcPr>
          <w:p w14:paraId="5D6058D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5AB3A44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</w:tr>
    </w:tbl>
    <w:p w14:paraId="735BC475">
      <w:pPr>
        <w:pStyle w:val="19"/>
        <w:numPr>
          <w:ilvl w:val="0"/>
          <w:numId w:val="15"/>
        </w:numPr>
        <w:suppressAutoHyphens w:val="0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CODE：01 – 功能码错</w:t>
      </w:r>
    </w:p>
    <w:p w14:paraId="1A914F18">
      <w:pPr>
        <w:pStyle w:val="19"/>
        <w:suppressAutoHyphens w:val="0"/>
        <w:ind w:firstLine="1740" w:firstLineChars="725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03 – 数据错</w:t>
      </w:r>
    </w:p>
    <w:p w14:paraId="2B8A04E9">
      <w:pPr>
        <w:pStyle w:val="19"/>
        <w:numPr>
          <w:ilvl w:val="0"/>
          <w:numId w:val="15"/>
        </w:numPr>
        <w:suppressAutoHyphens w:val="0"/>
        <w:spacing w:before="156" w:beforeLines="50"/>
        <w:ind w:left="845" w:firstLineChars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4"/>
          <w:highlight w:val="none"/>
        </w:rPr>
        <w:t>COM：接收到的功能码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113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8A350">
    <w:pPr>
      <w:pStyle w:val="7"/>
      <w:rPr>
        <w:rFonts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t xml:space="preserve">凯米斯科技                        </w:t>
    </w:r>
    <w:r>
      <w:rPr>
        <w:rFonts w:ascii="Times New Roman" w:hAnsi="Times New Roman" w:eastAsia="宋体" w:cs="Times New Roman"/>
      </w:rPr>
      <w:t xml:space="preserve">                 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6</w:t>
    </w:r>
    <w:r>
      <w:rPr>
        <w:rFonts w:ascii="Times New Roman" w:hAnsi="Times New Roman" w:eastAsia="宋体" w:cs="Times New Roman"/>
      </w:rPr>
      <w:fldChar w:fldCharType="end"/>
    </w:r>
    <w:r>
      <w:rPr>
        <w:rFonts w:ascii="Times New Roman" w:hAnsi="Times New Roman" w:eastAsia="宋体" w:cs="Times New Roman"/>
      </w:rPr>
      <w:t xml:space="preserve"> /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NUMPAGES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9</w:t>
    </w:r>
    <w:r>
      <w:rPr>
        <w:rFonts w:ascii="Times New Roman" w:hAnsi="Times New Roman" w:eastAsia="宋体" w:cs="Times New Roman"/>
      </w:rPr>
      <w:fldChar w:fldCharType="end"/>
    </w:r>
  </w:p>
  <w:p w14:paraId="4E75F1DC">
    <w:pPr>
      <w:rPr>
        <w:rFonts w:ascii="Times New Roman" w:hAnsi="Times New Roman" w:eastAsia="宋体" w:cs="Times New Roman"/>
        <w:sz w:val="18"/>
        <w:szCs w:val="18"/>
      </w:rPr>
    </w:pPr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4"/>
        <w:rFonts w:ascii="Times New Roman" w:hAnsi="Times New Roman" w:eastAsia="宋体" w:cs="Times New Roman"/>
        <w:sz w:val="18"/>
        <w:szCs w:val="18"/>
      </w:rPr>
      <w:t>www.chemins-tech.com</w:t>
    </w:r>
    <w:r>
      <w:rPr>
        <w:rStyle w:val="14"/>
        <w:rFonts w:ascii="Times New Roman" w:hAnsi="Times New Roman" w:eastAsia="宋体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B91F4">
    <w:pPr>
      <w:pStyle w:val="7"/>
    </w:pPr>
    <w:r>
      <w:rPr>
        <w:rFonts w:hint="eastAsia"/>
      </w:rPr>
      <w:t xml:space="preserve">烟台凯米斯仪器有限公司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9</w:t>
    </w:r>
    <w:r>
      <w:fldChar w:fldCharType="end"/>
    </w:r>
  </w:p>
  <w:p w14:paraId="426AA39B"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4"/>
        <w:rFonts w:hint="eastAsia"/>
      </w:rPr>
      <w:t>www.chemins-tech.com</w:t>
    </w:r>
    <w:r>
      <w:rPr>
        <w:rStyle w:val="14"/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863B1">
    <w:pPr>
      <w:pStyle w:val="8"/>
      <w:ind w:firstLine="18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-295910</wp:posOffset>
          </wp:positionV>
          <wp:extent cx="1700530" cy="404495"/>
          <wp:effectExtent l="19050" t="0" r="0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3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9E08">
    <w:pPr>
      <w:pStyle w:val="8"/>
      <w:ind w:firstLine="18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-272415</wp:posOffset>
          </wp:positionV>
          <wp:extent cx="1699895" cy="404495"/>
          <wp:effectExtent l="19050" t="0" r="0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2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D6D24"/>
    <w:multiLevelType w:val="multilevel"/>
    <w:tmpl w:val="038D6D2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22AF3"/>
    <w:multiLevelType w:val="multilevel"/>
    <w:tmpl w:val="0C222AF3"/>
    <w:lvl w:ilvl="0" w:tentative="0">
      <w:start w:val="1"/>
      <w:numFmt w:val="lowerLetter"/>
      <w:lvlText w:val="%1)"/>
      <w:lvlJc w:val="left"/>
      <w:pPr>
        <w:ind w:left="845" w:hanging="420"/>
      </w:pPr>
      <w:rPr>
        <w:rFonts w:hint="default" w:ascii="Times New Roman" w:hAnsi="Times New Roman" w:eastAsia="宋体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D7149FF"/>
    <w:multiLevelType w:val="multilevel"/>
    <w:tmpl w:val="0D7149FF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4A0D64"/>
    <w:multiLevelType w:val="multilevel"/>
    <w:tmpl w:val="234A0D6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37B523C"/>
    <w:multiLevelType w:val="multilevel"/>
    <w:tmpl w:val="237B52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24440C3C"/>
    <w:multiLevelType w:val="multilevel"/>
    <w:tmpl w:val="24440C3C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66872F6"/>
    <w:multiLevelType w:val="multilevel"/>
    <w:tmpl w:val="366872F6"/>
    <w:lvl w:ilvl="0" w:tentative="0">
      <w:start w:val="1"/>
      <w:numFmt w:val="lowerLetter"/>
      <w:lvlText w:val="%1)"/>
      <w:lvlJc w:val="left"/>
      <w:pPr>
        <w:ind w:left="905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325" w:hanging="420"/>
      </w:pPr>
    </w:lvl>
    <w:lvl w:ilvl="2" w:tentative="0">
      <w:start w:val="1"/>
      <w:numFmt w:val="lowerRoman"/>
      <w:lvlText w:val="%3."/>
      <w:lvlJc w:val="right"/>
      <w:pPr>
        <w:ind w:left="1745" w:hanging="420"/>
      </w:pPr>
    </w:lvl>
    <w:lvl w:ilvl="3" w:tentative="0">
      <w:start w:val="1"/>
      <w:numFmt w:val="decimal"/>
      <w:lvlText w:val="%4."/>
      <w:lvlJc w:val="left"/>
      <w:pPr>
        <w:ind w:left="2165" w:hanging="420"/>
      </w:pPr>
    </w:lvl>
    <w:lvl w:ilvl="4" w:tentative="0">
      <w:start w:val="1"/>
      <w:numFmt w:val="lowerLetter"/>
      <w:lvlText w:val="%5)"/>
      <w:lvlJc w:val="left"/>
      <w:pPr>
        <w:ind w:left="2585" w:hanging="420"/>
      </w:pPr>
    </w:lvl>
    <w:lvl w:ilvl="5" w:tentative="0">
      <w:start w:val="1"/>
      <w:numFmt w:val="lowerRoman"/>
      <w:lvlText w:val="%6."/>
      <w:lvlJc w:val="right"/>
      <w:pPr>
        <w:ind w:left="3005" w:hanging="420"/>
      </w:pPr>
    </w:lvl>
    <w:lvl w:ilvl="6" w:tentative="0">
      <w:start w:val="1"/>
      <w:numFmt w:val="decimal"/>
      <w:lvlText w:val="%7."/>
      <w:lvlJc w:val="left"/>
      <w:pPr>
        <w:ind w:left="3425" w:hanging="420"/>
      </w:pPr>
    </w:lvl>
    <w:lvl w:ilvl="7" w:tentative="0">
      <w:start w:val="1"/>
      <w:numFmt w:val="lowerLetter"/>
      <w:lvlText w:val="%8)"/>
      <w:lvlJc w:val="left"/>
      <w:pPr>
        <w:ind w:left="3845" w:hanging="420"/>
      </w:pPr>
    </w:lvl>
    <w:lvl w:ilvl="8" w:tentative="0">
      <w:start w:val="1"/>
      <w:numFmt w:val="lowerRoman"/>
      <w:lvlText w:val="%9."/>
      <w:lvlJc w:val="right"/>
      <w:pPr>
        <w:ind w:left="4265" w:hanging="420"/>
      </w:pPr>
    </w:lvl>
  </w:abstractNum>
  <w:abstractNum w:abstractNumId="7">
    <w:nsid w:val="3F1C60D7"/>
    <w:multiLevelType w:val="multilevel"/>
    <w:tmpl w:val="3F1C60D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4236473F"/>
    <w:multiLevelType w:val="multilevel"/>
    <w:tmpl w:val="4236473F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86E5837"/>
    <w:multiLevelType w:val="multilevel"/>
    <w:tmpl w:val="486E5837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55B53A7C"/>
    <w:multiLevelType w:val="multilevel"/>
    <w:tmpl w:val="55B53A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8"/>
        <w:szCs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57625D98"/>
    <w:multiLevelType w:val="singleLevel"/>
    <w:tmpl w:val="57625D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2">
    <w:nsid w:val="7167406C"/>
    <w:multiLevelType w:val="multilevel"/>
    <w:tmpl w:val="7167406C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2E62309"/>
    <w:multiLevelType w:val="multilevel"/>
    <w:tmpl w:val="72E62309"/>
    <w:lvl w:ilvl="0" w:tentative="0">
      <w:start w:val="1"/>
      <w:numFmt w:val="lowerLetter"/>
      <w:lvlText w:val="%1)"/>
      <w:lvlJc w:val="left"/>
      <w:pPr>
        <w:ind w:left="846" w:hanging="420"/>
      </w:pPr>
      <w:rPr>
        <w:rFonts w:hint="default" w:cs="Times New Roman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7E3C15AC"/>
    <w:multiLevelType w:val="multilevel"/>
    <w:tmpl w:val="7E3C15A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YjJkMGIyYmZkOTBlMzJmNzk5ZTJmZTczMTFmYzEifQ=="/>
  </w:docVars>
  <w:rsids>
    <w:rsidRoot w:val="009B2A0B"/>
    <w:rsid w:val="00002CBC"/>
    <w:rsid w:val="00002D37"/>
    <w:rsid w:val="000217AD"/>
    <w:rsid w:val="00021EFB"/>
    <w:rsid w:val="00041F74"/>
    <w:rsid w:val="000666B7"/>
    <w:rsid w:val="000859D0"/>
    <w:rsid w:val="000867D2"/>
    <w:rsid w:val="000A7E38"/>
    <w:rsid w:val="000B0D88"/>
    <w:rsid w:val="000E722C"/>
    <w:rsid w:val="00105AE2"/>
    <w:rsid w:val="001266D0"/>
    <w:rsid w:val="001409F4"/>
    <w:rsid w:val="00147FFD"/>
    <w:rsid w:val="001675A3"/>
    <w:rsid w:val="00197EA6"/>
    <w:rsid w:val="001A50FF"/>
    <w:rsid w:val="001C0E93"/>
    <w:rsid w:val="001C1E72"/>
    <w:rsid w:val="001C54AE"/>
    <w:rsid w:val="001D6FF0"/>
    <w:rsid w:val="001E6EDC"/>
    <w:rsid w:val="001F6921"/>
    <w:rsid w:val="001F73CA"/>
    <w:rsid w:val="002063E1"/>
    <w:rsid w:val="00234882"/>
    <w:rsid w:val="00235550"/>
    <w:rsid w:val="002A1AD3"/>
    <w:rsid w:val="002C71B5"/>
    <w:rsid w:val="002D1371"/>
    <w:rsid w:val="0030184B"/>
    <w:rsid w:val="003049AC"/>
    <w:rsid w:val="00322CA0"/>
    <w:rsid w:val="003377F7"/>
    <w:rsid w:val="00353BB4"/>
    <w:rsid w:val="00357741"/>
    <w:rsid w:val="003734C2"/>
    <w:rsid w:val="00394307"/>
    <w:rsid w:val="003A0A21"/>
    <w:rsid w:val="003B7267"/>
    <w:rsid w:val="003D2684"/>
    <w:rsid w:val="003F3907"/>
    <w:rsid w:val="003F7628"/>
    <w:rsid w:val="00453A83"/>
    <w:rsid w:val="00460D5B"/>
    <w:rsid w:val="004A768F"/>
    <w:rsid w:val="004A792E"/>
    <w:rsid w:val="004B3531"/>
    <w:rsid w:val="004B6275"/>
    <w:rsid w:val="004D15AE"/>
    <w:rsid w:val="004E1F1E"/>
    <w:rsid w:val="004E6187"/>
    <w:rsid w:val="004F3E6C"/>
    <w:rsid w:val="00511CDC"/>
    <w:rsid w:val="00524A68"/>
    <w:rsid w:val="005418AE"/>
    <w:rsid w:val="00556273"/>
    <w:rsid w:val="00565B47"/>
    <w:rsid w:val="0059401B"/>
    <w:rsid w:val="005A3698"/>
    <w:rsid w:val="00601CB6"/>
    <w:rsid w:val="00613947"/>
    <w:rsid w:val="006212C1"/>
    <w:rsid w:val="00630486"/>
    <w:rsid w:val="00634091"/>
    <w:rsid w:val="00665DB3"/>
    <w:rsid w:val="00692E1F"/>
    <w:rsid w:val="006944DA"/>
    <w:rsid w:val="006B7EE7"/>
    <w:rsid w:val="006E3DED"/>
    <w:rsid w:val="006F34A7"/>
    <w:rsid w:val="00780B97"/>
    <w:rsid w:val="007879D6"/>
    <w:rsid w:val="007C5E10"/>
    <w:rsid w:val="007E06C6"/>
    <w:rsid w:val="00830AFA"/>
    <w:rsid w:val="00837C2E"/>
    <w:rsid w:val="008A5BD0"/>
    <w:rsid w:val="008A5F56"/>
    <w:rsid w:val="008C68CB"/>
    <w:rsid w:val="008E3085"/>
    <w:rsid w:val="00907F63"/>
    <w:rsid w:val="0092613D"/>
    <w:rsid w:val="00933354"/>
    <w:rsid w:val="00933B9C"/>
    <w:rsid w:val="00941B53"/>
    <w:rsid w:val="00944844"/>
    <w:rsid w:val="00970497"/>
    <w:rsid w:val="009711CD"/>
    <w:rsid w:val="0098514D"/>
    <w:rsid w:val="00985B68"/>
    <w:rsid w:val="00993CB7"/>
    <w:rsid w:val="009B1788"/>
    <w:rsid w:val="009B2A0B"/>
    <w:rsid w:val="009C50DC"/>
    <w:rsid w:val="009E37B3"/>
    <w:rsid w:val="009E4813"/>
    <w:rsid w:val="00A12F47"/>
    <w:rsid w:val="00A130FA"/>
    <w:rsid w:val="00A414B6"/>
    <w:rsid w:val="00A458AD"/>
    <w:rsid w:val="00A45F71"/>
    <w:rsid w:val="00A76898"/>
    <w:rsid w:val="00A80424"/>
    <w:rsid w:val="00AA327B"/>
    <w:rsid w:val="00AE4C38"/>
    <w:rsid w:val="00B3245D"/>
    <w:rsid w:val="00B44026"/>
    <w:rsid w:val="00B45A30"/>
    <w:rsid w:val="00B61336"/>
    <w:rsid w:val="00B74EEE"/>
    <w:rsid w:val="00B95E46"/>
    <w:rsid w:val="00C05DF3"/>
    <w:rsid w:val="00C076AC"/>
    <w:rsid w:val="00C3076B"/>
    <w:rsid w:val="00CA0618"/>
    <w:rsid w:val="00CC2556"/>
    <w:rsid w:val="00CD6AFA"/>
    <w:rsid w:val="00CE64E2"/>
    <w:rsid w:val="00D10B28"/>
    <w:rsid w:val="00D1708A"/>
    <w:rsid w:val="00D24599"/>
    <w:rsid w:val="00D446B1"/>
    <w:rsid w:val="00D44F5D"/>
    <w:rsid w:val="00D4755C"/>
    <w:rsid w:val="00D60B28"/>
    <w:rsid w:val="00DC4CDC"/>
    <w:rsid w:val="00DE35AF"/>
    <w:rsid w:val="00E07476"/>
    <w:rsid w:val="00E10A44"/>
    <w:rsid w:val="00E15DEA"/>
    <w:rsid w:val="00E23831"/>
    <w:rsid w:val="00E23D11"/>
    <w:rsid w:val="00E422AC"/>
    <w:rsid w:val="00E548CE"/>
    <w:rsid w:val="00E61268"/>
    <w:rsid w:val="00E62B61"/>
    <w:rsid w:val="00E74649"/>
    <w:rsid w:val="00E834AE"/>
    <w:rsid w:val="00E871E0"/>
    <w:rsid w:val="00EA2F37"/>
    <w:rsid w:val="00EB6702"/>
    <w:rsid w:val="00EC24F4"/>
    <w:rsid w:val="00ED5A06"/>
    <w:rsid w:val="00EE7BD8"/>
    <w:rsid w:val="00EF2F3F"/>
    <w:rsid w:val="00F21AF1"/>
    <w:rsid w:val="00F36A5C"/>
    <w:rsid w:val="00F62A1F"/>
    <w:rsid w:val="00F828D1"/>
    <w:rsid w:val="00F914C1"/>
    <w:rsid w:val="00FA384A"/>
    <w:rsid w:val="00FE3548"/>
    <w:rsid w:val="00FF6288"/>
    <w:rsid w:val="0107001C"/>
    <w:rsid w:val="02085CDC"/>
    <w:rsid w:val="054E1FE3"/>
    <w:rsid w:val="0B367C20"/>
    <w:rsid w:val="0D02213C"/>
    <w:rsid w:val="0D51068F"/>
    <w:rsid w:val="0E1C39B9"/>
    <w:rsid w:val="0E514D37"/>
    <w:rsid w:val="0ED60A79"/>
    <w:rsid w:val="14131F48"/>
    <w:rsid w:val="15725A76"/>
    <w:rsid w:val="16384AD8"/>
    <w:rsid w:val="176E5C03"/>
    <w:rsid w:val="1BB92600"/>
    <w:rsid w:val="1C232AC7"/>
    <w:rsid w:val="1E257C9C"/>
    <w:rsid w:val="1F6E4FDB"/>
    <w:rsid w:val="1FC3151D"/>
    <w:rsid w:val="210D7DE8"/>
    <w:rsid w:val="23EF64FB"/>
    <w:rsid w:val="24B66AB8"/>
    <w:rsid w:val="25DB6839"/>
    <w:rsid w:val="26D8663B"/>
    <w:rsid w:val="279410C6"/>
    <w:rsid w:val="2ABB4FF5"/>
    <w:rsid w:val="32F458D5"/>
    <w:rsid w:val="368C3C2C"/>
    <w:rsid w:val="379F02A7"/>
    <w:rsid w:val="3A4C0FEC"/>
    <w:rsid w:val="3A545C14"/>
    <w:rsid w:val="3B0F03C8"/>
    <w:rsid w:val="3BAF4F42"/>
    <w:rsid w:val="3CD13DD3"/>
    <w:rsid w:val="3F253E61"/>
    <w:rsid w:val="4050122C"/>
    <w:rsid w:val="411308A7"/>
    <w:rsid w:val="41297D82"/>
    <w:rsid w:val="430A41A9"/>
    <w:rsid w:val="43CD322A"/>
    <w:rsid w:val="48122FD2"/>
    <w:rsid w:val="48C5158D"/>
    <w:rsid w:val="49A744DF"/>
    <w:rsid w:val="4A3B1213"/>
    <w:rsid w:val="4E1A0787"/>
    <w:rsid w:val="51B07DB8"/>
    <w:rsid w:val="51DE6DCA"/>
    <w:rsid w:val="52863953"/>
    <w:rsid w:val="5454578F"/>
    <w:rsid w:val="5548151B"/>
    <w:rsid w:val="55C87B66"/>
    <w:rsid w:val="575A1780"/>
    <w:rsid w:val="591E439C"/>
    <w:rsid w:val="593C77E0"/>
    <w:rsid w:val="5A040121"/>
    <w:rsid w:val="5C156951"/>
    <w:rsid w:val="60BE3CF5"/>
    <w:rsid w:val="60E5722A"/>
    <w:rsid w:val="63D14303"/>
    <w:rsid w:val="64A56C4D"/>
    <w:rsid w:val="67571A54"/>
    <w:rsid w:val="6B954FED"/>
    <w:rsid w:val="702E20FA"/>
    <w:rsid w:val="71B728BF"/>
    <w:rsid w:val="73BB789A"/>
    <w:rsid w:val="76AB6989"/>
    <w:rsid w:val="7A6855BC"/>
    <w:rsid w:val="7BBA6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字符"/>
    <w:basedOn w:val="13"/>
    <w:link w:val="3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3"/>
    <w:link w:val="4"/>
    <w:autoRedefine/>
    <w:qFormat/>
    <w:uiPriority w:val="9"/>
    <w:rPr>
      <w:b/>
      <w:bCs/>
      <w:sz w:val="32"/>
      <w:szCs w:val="32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paragraph" w:customStyle="1" w:styleId="19">
    <w:name w:val="列出段落1"/>
    <w:basedOn w:val="1"/>
    <w:autoRedefine/>
    <w:qFormat/>
    <w:uiPriority w:val="34"/>
    <w:pPr>
      <w:suppressAutoHyphens/>
      <w:ind w:firstLine="420" w:firstLineChars="200"/>
      <w:jc w:val="left"/>
    </w:pPr>
    <w:rPr>
      <w:rFonts w:ascii="Times" w:hAnsi="Times" w:eastAsia="宋体" w:cs="Times New Roman"/>
      <w:kern w:val="1"/>
      <w:sz w:val="28"/>
      <w:szCs w:val="24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2">
    <w:name w:val="列出段落2"/>
    <w:basedOn w:val="1"/>
    <w:autoRedefine/>
    <w:qFormat/>
    <w:uiPriority w:val="34"/>
  </w:style>
  <w:style w:type="paragraph" w:customStyle="1" w:styleId="23">
    <w:name w:val="Table Paragraph"/>
    <w:basedOn w:val="1"/>
    <w:autoRedefine/>
    <w:qFormat/>
    <w:uiPriority w:val="1"/>
  </w:style>
  <w:style w:type="character" w:customStyle="1" w:styleId="24">
    <w:name w:val="标题 1 字符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5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paragraph" w:customStyle="1" w:styleId="26">
    <w:name w:val="列出段落3"/>
    <w:basedOn w:val="1"/>
    <w:autoRedefine/>
    <w:qFormat/>
    <w:uiPriority w:val="34"/>
    <w:pPr>
      <w:ind w:firstLine="420" w:firstLineChars="200"/>
    </w:pPr>
  </w:style>
  <w:style w:type="paragraph" w:customStyle="1" w:styleId="27">
    <w:name w:val="列出段落31"/>
    <w:basedOn w:val="1"/>
    <w:autoRedefine/>
    <w:qFormat/>
    <w:uiPriority w:val="99"/>
    <w:pPr>
      <w:ind w:firstLine="420" w:firstLineChars="200"/>
    </w:p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NN</Company>
  <Pages>10</Pages>
  <Words>2714</Words>
  <Characters>3448</Characters>
  <Lines>35</Lines>
  <Paragraphs>9</Paragraphs>
  <TotalTime>70</TotalTime>
  <ScaleCrop>false</ScaleCrop>
  <LinksUpToDate>false</LinksUpToDate>
  <CharactersWithSpaces>3829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2017-05-26T02:28:00Z</dcterms:created>
  <dc:creator>Administrator</dc:creator>
  <cp:lastModifiedBy>zhu</cp:lastModifiedBy>
  <cp:lastPrinted>2020-03-17T03:24:00Z</cp:lastPrinted>
  <dcterms:modified xsi:type="dcterms:W3CDTF">2026-04-02T09:18:14Z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BA90AC2297DF4F65A9A9603029ADAB73_13</vt:lpwstr>
  </property>
  <property fmtid="{D5CDD505-2E9C-101B-9397-08002B2CF9AE}" pid="4" name="KSOTemplateDocerSaveRecord">
    <vt:lpwstr>eyJoZGlkIjoiNTYxMTRmNmNlM2E2YzE4MDYxYjQ3MjhiN2EzN2Y3MTEiLCJ1c2VySWQiOiIzMzI4OTU4MTIifQ==</vt:lpwstr>
  </property>
</Properties>
</file>