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8701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ORP-</w:t>
      </w:r>
      <w:r>
        <w:rPr>
          <w:rFonts w:hint="eastAsia" w:ascii="Times New Roman" w:hAnsi="Times New Roman" w:eastAsia="宋体" w:cs="Times New Roman"/>
          <w:b/>
          <w:sz w:val="52"/>
          <w:szCs w:val="52"/>
          <w:highlight w:val="none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06在线ORP传感器</w:t>
      </w:r>
    </w:p>
    <w:p w14:paraId="7CCCE1A2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用户手册</w:t>
      </w:r>
    </w:p>
    <w:p w14:paraId="1BEBE014">
      <w:pPr>
        <w:jc w:val="center"/>
        <w:rPr>
          <w:rFonts w:ascii="Times New Roman" w:hAnsi="Times New Roman" w:eastAsia="宋体" w:cs="Times New Roman"/>
          <w:b/>
          <w:szCs w:val="21"/>
          <w:highlight w:val="none"/>
        </w:rPr>
      </w:pPr>
    </w:p>
    <w:p w14:paraId="1D4AC72D">
      <w:pPr>
        <w:jc w:val="center"/>
        <w:rPr>
          <w:rFonts w:ascii="Times New Roman" w:hAnsi="Times New Roman" w:eastAsia="宋体" w:cs="Times New Roman"/>
          <w:b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/>
          <w:szCs w:val="21"/>
          <w:highlight w:val="none"/>
        </w:rPr>
        <w:drawing>
          <wp:inline distT="0" distB="0" distL="114300" distR="114300">
            <wp:extent cx="3567430" cy="43459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" t="5114" r="1467" b="6279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AAD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153C099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7ABCA05E">
      <w:pPr>
        <w:pStyle w:val="20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4C4BC0D2">
      <w:pPr>
        <w:pStyle w:val="9"/>
        <w:tabs>
          <w:tab w:val="right" w:leader="dot" w:pos="6719"/>
        </w:tabs>
        <w:spacing w:before="312" w:beforeLines="100"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1ED0">
      <w:pPr>
        <w:pStyle w:val="9"/>
        <w:tabs>
          <w:tab w:val="right" w:leader="dot" w:pos="6719"/>
        </w:tabs>
        <w:spacing w:line="360" w:lineRule="auto"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用户须知</w:t>
      </w:r>
    </w:p>
    <w:p w14:paraId="1A1F6B36">
      <w:pPr>
        <w:rPr>
          <w:rFonts w:ascii="Times New Roman" w:hAnsi="Times New Roman" w:eastAsia="宋体" w:cs="Times New Roman"/>
          <w:highlight w:val="none"/>
        </w:rPr>
      </w:pPr>
    </w:p>
    <w:p w14:paraId="530DE754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47E7B2AA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5D3FF50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133A190E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当仪器发生故障，请勿自行修理，请直接联系生产厂家的售后部门。</w:t>
      </w:r>
    </w:p>
    <w:p w14:paraId="485E2208">
      <w:p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</w:p>
    <w:p w14:paraId="3221BA15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br w:type="page"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44"/>
          <w:szCs w:val="44"/>
          <w:highlight w:val="none"/>
          <w:lang w:val="zh-CN" w:eastAsia="en-US"/>
        </w:rPr>
        <w:id w:val="21452275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en-US"/>
        </w:rPr>
      </w:sdtEndPr>
      <w:sdtContent>
        <w:p w14:paraId="4A78EE1C">
          <w:pPr>
            <w:pStyle w:val="21"/>
            <w:spacing w:before="312" w:beforeLines="100" w:after="312" w:afterLines="100" w:line="240" w:lineRule="auto"/>
            <w:jc w:val="center"/>
            <w:rPr>
              <w:rFonts w:ascii="Times New Roman" w:hAnsi="Times New Roman" w:eastAsia="宋体" w:cs="Times New Roman"/>
              <w:b w:val="0"/>
              <w:bCs w:val="0"/>
              <w:color w:val="auto"/>
              <w:kern w:val="2"/>
              <w:highlight w:val="none"/>
              <w:lang w:val="zh-CN"/>
            </w:rPr>
          </w:pPr>
          <w:r>
            <w:rPr>
              <w:rFonts w:ascii="Times New Roman" w:hAnsi="Times New Roman" w:eastAsia="宋体" w:cs="Times New Roman"/>
              <w:color w:val="auto"/>
              <w:sz w:val="44"/>
              <w:szCs w:val="44"/>
              <w:highlight w:val="none"/>
              <w:lang w:val="zh-CN"/>
            </w:rPr>
            <w:t>目录</w:t>
          </w:r>
        </w:p>
        <w:p w14:paraId="27CC101A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一、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应用环境说明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F849EAE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二、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技术性能和规格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436B5DED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技术参数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EDE90BB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尺寸图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5B9E773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三、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安装和电气连接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37AD9806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AF4C698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"_Toc525914238"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_Toc525914238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9A54E40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"_Toc525914239"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四、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维护和保养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_Toc525914239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7DDCCD9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"_Toc525914240"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使用和保养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_Toc525914240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20DDA89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"_Toc525914241"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ORP标准溶液配制方法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_Toc525914241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3F1D70C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校准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2440110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五、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质量和服务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DC169AC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质量保证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97E08A7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配件和备件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4EB461A0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售后服务承诺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9D3B45E">
          <w:pPr>
            <w:pStyle w:val="10"/>
            <w:tabs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附录 数据通讯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8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445681A2">
          <w:pPr>
            <w:rPr>
              <w:rFonts w:ascii="Times New Roman" w:hAnsi="Times New Roman" w:eastAsia="宋体" w:cs="Times New Roman"/>
              <w:sz w:val="32"/>
              <w:szCs w:val="32"/>
              <w:highlight w:val="none"/>
              <w:lang w:eastAsia="en-US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</w:sdtContent>
    </w:sdt>
    <w:p w14:paraId="4B156722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br w:type="page"/>
      </w:r>
    </w:p>
    <w:p w14:paraId="406BDB0D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0" w:name="_Toc525914232"/>
      <w:r>
        <w:rPr>
          <w:rFonts w:ascii="Times New Roman" w:hAnsi="Times New Roman" w:eastAsia="宋体" w:cs="Times New Roman"/>
          <w:highlight w:val="none"/>
        </w:rPr>
        <w:t>应用环境说明</w:t>
      </w:r>
      <w:bookmarkEnd w:id="0"/>
    </w:p>
    <w:p w14:paraId="06614C24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用于环境水质监测、酸/碱/盐溶液、化学反应过程中、工业生产过程中，能够满足大多数工业应用对在线ORP测量的要求。</w:t>
      </w:r>
    </w:p>
    <w:p w14:paraId="209E9DA9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信号输出：RS-485（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Modbus/RTU协议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）。</w:t>
      </w:r>
    </w:p>
    <w:p w14:paraId="4A533CBB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方便连接到PLC、DCS、工业控制计算机、通用控制器、无纸记录仪器或触摸屏等第三方设备。</w:t>
      </w:r>
    </w:p>
    <w:p w14:paraId="7686D666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双高阻抗差动放大器，抗干扰强，响应速度快。</w:t>
      </w:r>
    </w:p>
    <w:p w14:paraId="082BBFE5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专利的ORP电极，内部参比液在至少100KPa（1Bar）的压力下，极其缓慢的从微孔盐桥中渗出，其正向渗出持续20个月以上。这样的参比系统非常稳定，电极寿命比普通工业电极成倍延长。</w:t>
      </w:r>
    </w:p>
    <w:p w14:paraId="0BFFFEF0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易于安装：3/4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N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PT管螺纹，便于沉入式安装或安装在管道和罐体。</w:t>
      </w:r>
    </w:p>
    <w:p w14:paraId="245C71E2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IP68防护等级。</w:t>
      </w:r>
    </w:p>
    <w:p w14:paraId="4BD79A73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" w:name="_Toc525914233"/>
      <w:r>
        <w:rPr>
          <w:rFonts w:ascii="Times New Roman" w:hAnsi="Times New Roman" w:eastAsia="宋体" w:cs="Times New Roman"/>
          <w:highlight w:val="none"/>
        </w:rPr>
        <w:t>技术性能和规格</w:t>
      </w:r>
      <w:bookmarkEnd w:id="1"/>
    </w:p>
    <w:p w14:paraId="5FBA1C7D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2" w:name="_Toc427659758"/>
      <w:bookmarkStart w:id="3" w:name="_Toc525914234"/>
      <w:bookmarkStart w:id="4" w:name="_Toc423526157"/>
      <w:bookmarkStart w:id="5" w:name="_Toc4964"/>
      <w:bookmarkStart w:id="6" w:name="OLE_LINK6"/>
      <w:r>
        <w:rPr>
          <w:rFonts w:ascii="Times New Roman" w:hAnsi="Times New Roman" w:eastAsia="宋体" w:cs="Times New Roman"/>
          <w:sz w:val="28"/>
          <w:szCs w:val="28"/>
          <w:highlight w:val="none"/>
        </w:rPr>
        <w:t>技术参数</w:t>
      </w:r>
      <w:bookmarkEnd w:id="2"/>
      <w:bookmarkEnd w:id="3"/>
      <w:bookmarkEnd w:id="4"/>
      <w:bookmarkEnd w:id="5"/>
    </w:p>
    <w:bookmarkEnd w:id="6"/>
    <w:tbl>
      <w:tblPr>
        <w:tblStyle w:val="11"/>
        <w:tblW w:w="6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119"/>
        <w:gridCol w:w="2120"/>
      </w:tblGrid>
      <w:tr w14:paraId="419A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0B5C81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B7F46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ORP-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06</w:t>
            </w:r>
          </w:p>
        </w:tc>
      </w:tr>
      <w:tr w14:paraId="4E2E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67E21D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DD054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ABS/PC合金</w:t>
            </w:r>
          </w:p>
        </w:tc>
      </w:tr>
      <w:tr w14:paraId="11391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3808A2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测量原理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CBE3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铂电极法</w:t>
            </w:r>
          </w:p>
        </w:tc>
      </w:tr>
      <w:tr w14:paraId="59D6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647C7A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与分辨率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6E04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00～+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00mV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55EDE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1mV</w:t>
            </w:r>
          </w:p>
        </w:tc>
      </w:tr>
      <w:tr w14:paraId="276A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73B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152A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V</w:t>
            </w:r>
          </w:p>
        </w:tc>
      </w:tr>
      <w:tr w14:paraId="24FE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F86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响应时间（T90）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76BC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67A5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0D2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校准方式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B0A8B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两点校准</w:t>
            </w:r>
          </w:p>
        </w:tc>
      </w:tr>
      <w:tr w14:paraId="7C53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D69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清洁方式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4FD1D4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4E0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8CE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温度补偿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1C21A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3D43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B8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输出方式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D35F2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RS-485(Modbus/RTU)</w:t>
            </w:r>
          </w:p>
        </w:tc>
      </w:tr>
      <w:tr w14:paraId="3BCC8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A3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存储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温度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C36B50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-5～65℃</w:t>
            </w:r>
          </w:p>
        </w:tc>
      </w:tr>
      <w:tr w14:paraId="26FE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40D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55C8FD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0～50℃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0.2MPa</w:t>
            </w:r>
          </w:p>
        </w:tc>
      </w:tr>
      <w:tr w14:paraId="0712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60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安装方式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859658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沉入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式安装，3/4NPT</w:t>
            </w:r>
          </w:p>
        </w:tc>
      </w:tr>
      <w:tr w14:paraId="2D37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29D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功耗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411AAF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0.2W@12V</w:t>
            </w:r>
          </w:p>
        </w:tc>
      </w:tr>
      <w:tr w14:paraId="3FC0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DB2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30A080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24VDC</w:t>
            </w:r>
          </w:p>
        </w:tc>
      </w:tr>
      <w:tr w14:paraId="1528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1D8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bookmarkStart w:id="7" w:name="_Toc525914235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防护等级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341374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IP68</w:t>
            </w:r>
          </w:p>
        </w:tc>
      </w:tr>
      <w:tr w14:paraId="2730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FC1C08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线缆长度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EC85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5米，其它长度可定制</w:t>
            </w:r>
          </w:p>
        </w:tc>
      </w:tr>
    </w:tbl>
    <w:p w14:paraId="681166F8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</w:rPr>
      </w:pPr>
    </w:p>
    <w:p w14:paraId="11EAEAE2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尺寸图</w:t>
      </w:r>
      <w:bookmarkEnd w:id="7"/>
    </w:p>
    <w:p w14:paraId="400FA7F3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drawing>
          <wp:inline distT="0" distB="0" distL="0" distR="0">
            <wp:extent cx="5682615" cy="21964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00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88B2">
      <w:pPr>
        <w:widowControl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注：传感器接头为M16-5芯防水接头公头</w:t>
      </w:r>
    </w:p>
    <w:p w14:paraId="47002904">
      <w:pPr>
        <w:jc w:val="center"/>
        <w:rPr>
          <w:rFonts w:ascii="Times New Roman" w:hAnsi="Times New Roman" w:eastAsia="宋体" w:cs="Times New Roman"/>
          <w:highlight w:val="none"/>
        </w:rPr>
      </w:pPr>
    </w:p>
    <w:p w14:paraId="3D19D2C0">
      <w:pPr>
        <w:pStyle w:val="3"/>
        <w:numPr>
          <w:ilvl w:val="0"/>
          <w:numId w:val="2"/>
        </w:numPr>
        <w:spacing w:before="0" w:after="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8" w:name="_Toc525914236"/>
      <w:r>
        <w:rPr>
          <w:rFonts w:ascii="Times New Roman" w:hAnsi="Times New Roman" w:eastAsia="宋体" w:cs="Times New Roman"/>
          <w:highlight w:val="none"/>
        </w:rPr>
        <w:t>安装和电气连接</w:t>
      </w:r>
      <w:bookmarkEnd w:id="8"/>
    </w:p>
    <w:p w14:paraId="1B4257EB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highlight w:val="none"/>
        </w:rPr>
      </w:pPr>
      <w:bookmarkStart w:id="9" w:name="_Toc525914237"/>
      <w:r>
        <w:rPr>
          <w:rFonts w:ascii="Times New Roman" w:hAnsi="Times New Roman" w:eastAsia="宋体" w:cs="Times New Roman"/>
          <w:sz w:val="28"/>
          <w:szCs w:val="28"/>
          <w:highlight w:val="none"/>
        </w:rPr>
        <w:t>安装</w:t>
      </w:r>
      <w:bookmarkEnd w:id="9"/>
    </w:p>
    <w:p w14:paraId="37C29648">
      <w:pPr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224790</wp:posOffset>
            </wp:positionV>
            <wp:extent cx="5610225" cy="2465070"/>
            <wp:effectExtent l="0" t="0" r="9525" b="11430"/>
            <wp:wrapSquare wrapText="right"/>
            <wp:docPr id="18" name="Picture 192" descr="PH电极常用安装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92" descr="PH电极常用安装方法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5E33AD">
      <w:pPr>
        <w:rPr>
          <w:rFonts w:ascii="Times New Roman" w:hAnsi="Times New Roman" w:eastAsia="宋体" w:cs="Times New Roman"/>
          <w:highlight w:val="none"/>
        </w:rPr>
      </w:pPr>
    </w:p>
    <w:p w14:paraId="1B96180C">
      <w:pPr>
        <w:rPr>
          <w:rFonts w:ascii="Times New Roman" w:hAnsi="Times New Roman" w:eastAsia="宋体" w:cs="Times New Roman"/>
          <w:highlight w:val="none"/>
        </w:rPr>
      </w:pPr>
    </w:p>
    <w:p w14:paraId="5B38683D">
      <w:pPr>
        <w:rPr>
          <w:rFonts w:ascii="Times New Roman" w:hAnsi="Times New Roman" w:eastAsia="宋体" w:cs="Times New Roman"/>
          <w:highlight w:val="none"/>
        </w:rPr>
      </w:pPr>
    </w:p>
    <w:p w14:paraId="297122A8">
      <w:pPr>
        <w:rPr>
          <w:rFonts w:ascii="Times New Roman" w:hAnsi="Times New Roman" w:eastAsia="宋体" w:cs="Times New Roman"/>
          <w:highlight w:val="none"/>
        </w:rPr>
      </w:pPr>
    </w:p>
    <w:p w14:paraId="3AE179E7">
      <w:pPr>
        <w:rPr>
          <w:rFonts w:ascii="Times New Roman" w:hAnsi="Times New Roman" w:eastAsia="宋体" w:cs="Times New Roman"/>
          <w:highlight w:val="none"/>
        </w:rPr>
      </w:pPr>
    </w:p>
    <w:p w14:paraId="6661E1E6">
      <w:pPr>
        <w:rPr>
          <w:rFonts w:ascii="Times New Roman" w:hAnsi="Times New Roman" w:eastAsia="宋体" w:cs="Times New Roman"/>
          <w:highlight w:val="none"/>
        </w:rPr>
      </w:pPr>
    </w:p>
    <w:p w14:paraId="3919AD4C">
      <w:pPr>
        <w:rPr>
          <w:rFonts w:ascii="Times New Roman" w:hAnsi="Times New Roman" w:eastAsia="宋体" w:cs="Times New Roman"/>
          <w:highlight w:val="none"/>
        </w:rPr>
      </w:pPr>
    </w:p>
    <w:p w14:paraId="31C7885E">
      <w:pPr>
        <w:rPr>
          <w:rFonts w:ascii="Times New Roman" w:hAnsi="Times New Roman" w:eastAsia="宋体" w:cs="Times New Roman"/>
          <w:highlight w:val="none"/>
        </w:rPr>
      </w:pPr>
    </w:p>
    <w:p w14:paraId="14DA53E7">
      <w:pPr>
        <w:rPr>
          <w:rFonts w:ascii="Times New Roman" w:hAnsi="Times New Roman" w:eastAsia="宋体" w:cs="Times New Roman"/>
          <w:highlight w:val="none"/>
        </w:rPr>
      </w:pPr>
    </w:p>
    <w:p w14:paraId="51536E4F">
      <w:pPr>
        <w:rPr>
          <w:rFonts w:ascii="Times New Roman" w:hAnsi="Times New Roman" w:eastAsia="宋体" w:cs="Times New Roman"/>
          <w:highlight w:val="none"/>
        </w:rPr>
      </w:pPr>
    </w:p>
    <w:p w14:paraId="0AAFC02C">
      <w:pPr>
        <w:rPr>
          <w:rFonts w:ascii="Times New Roman" w:hAnsi="Times New Roman" w:eastAsia="宋体" w:cs="Times New Roman"/>
          <w:highlight w:val="none"/>
        </w:rPr>
      </w:pPr>
    </w:p>
    <w:p w14:paraId="40EFE956">
      <w:pPr>
        <w:rPr>
          <w:rFonts w:ascii="Times New Roman" w:hAnsi="Times New Roman" w:eastAsia="宋体" w:cs="Times New Roman"/>
          <w:highlight w:val="none"/>
        </w:rPr>
      </w:pPr>
    </w:p>
    <w:p w14:paraId="347E3B84">
      <w:pPr>
        <w:pStyle w:val="20"/>
        <w:ind w:left="420" w:right="280"/>
        <w:rPr>
          <w:color w:val="auto"/>
          <w:highlight w:val="none"/>
        </w:rPr>
      </w:pPr>
    </w:p>
    <w:p w14:paraId="547B8B71">
      <w:pPr>
        <w:pStyle w:val="20"/>
        <w:ind w:left="420" w:right="280"/>
        <w:rPr>
          <w:color w:val="FF0000"/>
          <w:highlight w:val="none"/>
        </w:rPr>
      </w:pPr>
      <w:r>
        <w:rPr>
          <w:color w:val="auto"/>
          <w:highlight w:val="none"/>
        </w:rPr>
        <w:t>注意：传感器安装时不能倒置或水平安装，至少倾斜15度角以上安装。</w:t>
      </w:r>
    </w:p>
    <w:p w14:paraId="393DE707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10" w:name="_Toc525914238"/>
      <w:r>
        <w:rPr>
          <w:rFonts w:ascii="Times New Roman" w:hAnsi="Times New Roman" w:eastAsia="宋体" w:cs="Times New Roman"/>
          <w:sz w:val="28"/>
          <w:szCs w:val="28"/>
          <w:highlight w:val="none"/>
        </w:rPr>
        <w:t>电气连接</w:t>
      </w:r>
      <w:bookmarkEnd w:id="10"/>
    </w:p>
    <w:p w14:paraId="27519706">
      <w:pPr>
        <w:ind w:firstLine="484" w:firstLineChars="202"/>
        <w:rPr>
          <w:rFonts w:ascii="Times New Roman" w:hAnsi="Times New Roman" w:eastAsia="宋体" w:cs="Times New Roman"/>
          <w:sz w:val="24"/>
          <w:highlight w:val="none"/>
        </w:rPr>
      </w:pPr>
      <w:bookmarkStart w:id="11" w:name="_Toc525914239"/>
      <w:bookmarkStart w:id="12" w:name="_Toc494117817"/>
      <w:r>
        <w:rPr>
          <w:rFonts w:ascii="Times New Roman" w:hAnsi="Times New Roman" w:eastAsia="宋体" w:cs="Times New Roman"/>
          <w:sz w:val="24"/>
          <w:highlight w:val="none"/>
        </w:rPr>
        <w:t>线缆为4芯双绞屏蔽线，线序定义：</w:t>
      </w:r>
    </w:p>
    <w:p w14:paraId="66ADF92D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1EC15E1D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7AD18786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蓝色线—485A</w:t>
      </w:r>
    </w:p>
    <w:p w14:paraId="1B9EC690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白色线—485B</w:t>
      </w:r>
    </w:p>
    <w:p w14:paraId="42E32D03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黄色线—电流输出（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选配电流输出为5芯屏蔽线</w:t>
      </w:r>
      <w:r>
        <w:rPr>
          <w:rFonts w:ascii="Times New Roman" w:hAnsi="Times New Roman"/>
          <w:sz w:val="24"/>
          <w:highlight w:val="none"/>
        </w:rPr>
        <w:t>）</w:t>
      </w:r>
    </w:p>
    <w:p w14:paraId="2C387F29">
      <w:pPr>
        <w:pStyle w:val="19"/>
        <w:numPr>
          <w:ilvl w:val="0"/>
          <w:numId w:val="0"/>
        </w:numPr>
        <w:ind w:left="480" w:leftChars="0"/>
        <w:rPr>
          <w:rFonts w:ascii="Times New Roman" w:hAnsi="Times New Roman"/>
          <w:sz w:val="24"/>
          <w:highlight w:val="none"/>
        </w:rPr>
      </w:pPr>
    </w:p>
    <w:p w14:paraId="1194F6AA">
      <w:pPr>
        <w:pStyle w:val="19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bookmarkStart w:id="13" w:name="_Toc494377400"/>
      <w:bookmarkStart w:id="14" w:name="_Toc496261164"/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75128CF0">
      <w:pPr>
        <w:pStyle w:val="19"/>
        <w:spacing w:before="156" w:beforeLines="50"/>
        <w:ind w:firstLineChars="0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考虑到线缆长期浸泡在水中（包括海水）或暴露在空气中，所有接线处均要求做防水处理，用户线缆应具有一定的防腐蚀能力。</w:t>
      </w:r>
      <w:bookmarkEnd w:id="13"/>
      <w:bookmarkEnd w:id="14"/>
    </w:p>
    <w:p w14:paraId="5E6ED7B8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维护和保养</w:t>
      </w:r>
      <w:bookmarkEnd w:id="11"/>
      <w:bookmarkEnd w:id="12"/>
    </w:p>
    <w:p w14:paraId="61966B19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5" w:name="_Toc525914240"/>
      <w:r>
        <w:rPr>
          <w:rFonts w:ascii="Times New Roman" w:hAnsi="Times New Roman"/>
          <w:b/>
          <w:szCs w:val="28"/>
          <w:highlight w:val="none"/>
        </w:rPr>
        <w:t>使用和保养</w:t>
      </w:r>
      <w:bookmarkEnd w:id="15"/>
    </w:p>
    <w:p w14:paraId="509C859E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ORP电极在测量时，应先在蒸馏水中（或去离子水中）清洗干净，并用滤纸吸干水分，防止杂质带进被测液中，电极的1/3应插入被测溶液中。</w:t>
      </w:r>
    </w:p>
    <w:p w14:paraId="01AA4ADA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电极不用时应洗净，插入加有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mol/L氯化钾溶液的保护套,或将电极插进加有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mol/L氯化钾溶液的容器中。</w:t>
      </w:r>
    </w:p>
    <w:p w14:paraId="1AB1BE78">
      <w:pPr>
        <w:widowControl/>
        <w:ind w:firstLine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检查接线端子处是否干燥，如有沾污，请用无水酒精擦拭，吹干后使用。应避免长期浸泡在蒸馏水或蛋白质溶液中，并防止与有机硅油脂接触。使用时间较长的电极，可用稀盐酸洗涤，并用水冲洗。电极使用时间较长，出现测量误差时，须配合仪表进行标定，进行校正。</w:t>
      </w:r>
    </w:p>
    <w:p w14:paraId="51E0BC51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当用以上方式对电极进行维护和保养时仍不能进行标定和测量时，说明电极已经失效，请更换电极。</w:t>
      </w:r>
    </w:p>
    <w:p w14:paraId="758DF904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6" w:name="_Toc525914241"/>
      <w:r>
        <w:rPr>
          <w:rFonts w:ascii="Times New Roman" w:hAnsi="Times New Roman"/>
          <w:b/>
          <w:szCs w:val="28"/>
          <w:highlight w:val="none"/>
        </w:rPr>
        <w:t>ORP标准溶液配制方</w:t>
      </w:r>
      <w:bookmarkStart w:id="38" w:name="_GoBack"/>
      <w:bookmarkEnd w:id="38"/>
      <w:r>
        <w:rPr>
          <w:rFonts w:ascii="Times New Roman" w:hAnsi="Times New Roman"/>
          <w:b/>
          <w:szCs w:val="28"/>
          <w:highlight w:val="none"/>
        </w:rPr>
        <w:t>法</w:t>
      </w:r>
      <w:bookmarkEnd w:id="16"/>
    </w:p>
    <w:p w14:paraId="41E40188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ORP标准溶液256mV配制方法</w:t>
      </w:r>
    </w:p>
    <w:p w14:paraId="750B3D61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称取2.1g醌氢醌加到200mL的pH值为4.00的标准pH缓冲溶液中，混匀。</w:t>
      </w:r>
    </w:p>
    <w:p w14:paraId="5C758EDD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ORP标准溶液86mV配制方法</w:t>
      </w:r>
    </w:p>
    <w:p w14:paraId="1B756905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称取2.1g醌氢醌加到200mL的pH值为6.86的标准pH缓冲溶液中，混匀。</w:t>
      </w:r>
    </w:p>
    <w:p w14:paraId="4F8A0B51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ORP标准溶液-40mV配制方法</w:t>
      </w:r>
    </w:p>
    <w:p w14:paraId="3C03E0E7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称取2.1g醌氢醌加到200mL的pH值为9.18的标准pH缓冲溶液中，混匀。</w:t>
      </w:r>
    </w:p>
    <w:p w14:paraId="7C99C3CE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注意配制pH时是一共配制250mL，量取200mL待用。</w:t>
      </w:r>
    </w:p>
    <w:p w14:paraId="7E041C98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pH配制相应标准液方法：</w:t>
      </w:r>
    </w:p>
    <w:p w14:paraId="75918A8A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用量筒量取250mL的蒸馏水，倒入烧杯中，加入pH=6.86/4.00/9.18的校准粉一包，用玻璃棒搅拌均匀，直至粉末完全溶解，配制成pH=6.86/4.00/9.18的溶液。</w:t>
      </w:r>
    </w:p>
    <w:p w14:paraId="14E8F87C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7" w:name="_Toc525914242"/>
      <w:r>
        <w:rPr>
          <w:rFonts w:ascii="Times New Roman" w:hAnsi="Times New Roman"/>
          <w:b/>
          <w:szCs w:val="28"/>
          <w:highlight w:val="none"/>
        </w:rPr>
        <w:t>校准</w:t>
      </w:r>
      <w:bookmarkEnd w:id="17"/>
    </w:p>
    <w:p w14:paraId="66D69D9A">
      <w:pPr>
        <w:widowControl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将传感器放入配制好的86mV（或256mV或-40mV）溶液中，等待3～5分钟，待数值稳定后看显示的数值是否是86mV（或256mV或-40mV)，如果不是则需进行校准。校准指令见附录。</w:t>
      </w:r>
    </w:p>
    <w:p w14:paraId="02DA78C3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8" w:name="_Toc525914243"/>
      <w:bookmarkStart w:id="19" w:name="_Toc494117818"/>
      <w:r>
        <w:rPr>
          <w:rFonts w:ascii="Times New Roman" w:hAnsi="Times New Roman" w:eastAsia="宋体" w:cs="Times New Roman"/>
          <w:highlight w:val="none"/>
        </w:rPr>
        <w:t>质量和服务</w:t>
      </w:r>
      <w:bookmarkEnd w:id="18"/>
      <w:bookmarkEnd w:id="19"/>
    </w:p>
    <w:p w14:paraId="09941093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0" w:name="_Toc492393682"/>
      <w:bookmarkStart w:id="21" w:name="_Toc525914244"/>
      <w:r>
        <w:rPr>
          <w:rFonts w:ascii="Times New Roman" w:hAnsi="Times New Roman"/>
          <w:b/>
          <w:kern w:val="0"/>
          <w:szCs w:val="28"/>
          <w:highlight w:val="none"/>
        </w:rPr>
        <w:t>质量保证</w:t>
      </w:r>
      <w:bookmarkEnd w:id="20"/>
      <w:bookmarkEnd w:id="21"/>
    </w:p>
    <w:p w14:paraId="65549329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54886A09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5A1649A6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75D05752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2" w:name="_Toc8014"/>
      <w:bookmarkStart w:id="23" w:name="_Toc492393683"/>
      <w:bookmarkStart w:id="24" w:name="_Toc452497955"/>
      <w:bookmarkStart w:id="25" w:name="_Toc446678251"/>
      <w:bookmarkStart w:id="26" w:name="_Toc525914245"/>
      <w:bookmarkStart w:id="27" w:name="_Toc453839765"/>
      <w:bookmarkStart w:id="28" w:name="_Toc26673"/>
      <w:bookmarkStart w:id="29" w:name="_Toc427659760"/>
      <w:r>
        <w:rPr>
          <w:rFonts w:ascii="Times New Roman" w:hAnsi="Times New Roman"/>
          <w:b/>
          <w:kern w:val="0"/>
          <w:szCs w:val="28"/>
          <w:highlight w:val="none"/>
        </w:rPr>
        <w:t>配件和备件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6507B07F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此产品包括：</w:t>
      </w:r>
    </w:p>
    <w:p w14:paraId="31E83373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传感器1支</w:t>
      </w:r>
    </w:p>
    <w:p w14:paraId="2F3059C1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说明书1份</w:t>
      </w:r>
    </w:p>
    <w:p w14:paraId="0E56FFDF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合格证1张</w:t>
      </w:r>
    </w:p>
    <w:p w14:paraId="411FC760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线缆1根（5米）</w:t>
      </w:r>
    </w:p>
    <w:p w14:paraId="60C8DA33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30" w:name="_Toc525914246"/>
      <w:bookmarkStart w:id="31" w:name="_Toc19215"/>
      <w:bookmarkStart w:id="32" w:name="_Toc492393684"/>
      <w:bookmarkStart w:id="33" w:name="_Toc452497956"/>
      <w:bookmarkStart w:id="34" w:name="_Toc453839766"/>
      <w:r>
        <w:rPr>
          <w:rFonts w:ascii="Times New Roman" w:hAnsi="Times New Roman"/>
          <w:b/>
          <w:kern w:val="0"/>
          <w:szCs w:val="28"/>
          <w:highlight w:val="none"/>
        </w:rPr>
        <w:t>售后服务承诺</w:t>
      </w:r>
      <w:bookmarkEnd w:id="29"/>
      <w:bookmarkEnd w:id="30"/>
      <w:bookmarkEnd w:id="31"/>
      <w:bookmarkEnd w:id="32"/>
      <w:bookmarkEnd w:id="33"/>
      <w:bookmarkEnd w:id="34"/>
    </w:p>
    <w:p w14:paraId="1F7318B2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bookmarkStart w:id="35" w:name="OLE_LINK9"/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35"/>
    </w:p>
    <w:p w14:paraId="49680721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</w:p>
    <w:p w14:paraId="2E6FA0F7">
      <w:pPr>
        <w:widowControl/>
        <w:jc w:val="left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br w:type="page"/>
      </w:r>
    </w:p>
    <w:p w14:paraId="7CF53B8E">
      <w:pPr>
        <w:pStyle w:val="3"/>
        <w:spacing w:before="156" w:beforeLines="50" w:after="156" w:afterLines="50" w:line="240" w:lineRule="auto"/>
        <w:ind w:left="323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36" w:name="_Toc525914247"/>
      <w:r>
        <w:rPr>
          <w:rFonts w:ascii="Times New Roman" w:hAnsi="Times New Roman" w:eastAsia="宋体" w:cs="Times New Roman"/>
          <w:sz w:val="28"/>
          <w:szCs w:val="28"/>
          <w:highlight w:val="none"/>
        </w:rPr>
        <w:t>附录 数据通讯</w:t>
      </w:r>
      <w:bookmarkEnd w:id="36"/>
    </w:p>
    <w:p w14:paraId="6F95CD33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bookmarkStart w:id="37" w:name="OLE_LINK4"/>
      <w:r>
        <w:rPr>
          <w:rFonts w:ascii="Times New Roman" w:hAnsi="Times New Roman"/>
          <w:b/>
          <w:kern w:val="0"/>
          <w:sz w:val="24"/>
          <w:highlight w:val="none"/>
        </w:rPr>
        <w:t>数据格式</w:t>
      </w:r>
    </w:p>
    <w:bookmarkEnd w:id="37"/>
    <w:p w14:paraId="287E06C0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Modbus通信默认的数据格式为：9600、n、8、1（波特率9600bps，1个起始位，8个数据位，无校验，1个停止位）。</w:t>
      </w:r>
    </w:p>
    <w:p w14:paraId="2FA6318E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波特率等参数可以定制。</w:t>
      </w:r>
    </w:p>
    <w:p w14:paraId="1C3EE3B3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信息帧格式</w:t>
      </w:r>
    </w:p>
    <w:p w14:paraId="30F0F9BA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38F4A6C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7E6C2E02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寄存器数量     CRC校验码（低字节在前）</w:t>
      </w:r>
    </w:p>
    <w:p w14:paraId="15DF1318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16A7DDEF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   xx……xx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29E59828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字节数          应答数据       CRC校验码（低字节在前）</w:t>
      </w:r>
    </w:p>
    <w:p w14:paraId="626AE651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1BE1FC51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  xx           xx  xx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034ED929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0DF04F59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6A375D0F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6E69D613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45F10737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寄存器地址</w:t>
      </w:r>
    </w:p>
    <w:tbl>
      <w:tblPr>
        <w:tblStyle w:val="12"/>
        <w:tblW w:w="905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25"/>
        <w:gridCol w:w="3261"/>
        <w:gridCol w:w="1559"/>
        <w:gridCol w:w="1276"/>
      </w:tblGrid>
      <w:tr w14:paraId="3A17DC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FC5F98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寄存器地址</w:t>
            </w:r>
          </w:p>
        </w:tc>
        <w:tc>
          <w:tcPr>
            <w:tcW w:w="1425" w:type="dxa"/>
            <w:tcBorders>
              <w:top w:val="single" w:color="auto" w:sz="6" w:space="0"/>
            </w:tcBorders>
            <w:vAlign w:val="center"/>
          </w:tcPr>
          <w:p w14:paraId="4001BBE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名称</w:t>
            </w:r>
          </w:p>
        </w:tc>
        <w:tc>
          <w:tcPr>
            <w:tcW w:w="3261" w:type="dxa"/>
            <w:tcBorders>
              <w:top w:val="single" w:color="auto" w:sz="6" w:space="0"/>
            </w:tcBorders>
            <w:vAlign w:val="center"/>
          </w:tcPr>
          <w:p w14:paraId="72E417F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说明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 w14:paraId="2A21086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寄存器个数</w:t>
            </w: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7CB700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访问方式</w:t>
            </w:r>
          </w:p>
        </w:tc>
      </w:tr>
      <w:tr w14:paraId="7A97B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227685F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40001</w:t>
            </w:r>
          </w:p>
          <w:p w14:paraId="5C26B25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(0x0000)</w:t>
            </w:r>
          </w:p>
        </w:tc>
        <w:tc>
          <w:tcPr>
            <w:tcW w:w="1425" w:type="dxa"/>
            <w:vAlign w:val="center"/>
          </w:tcPr>
          <w:p w14:paraId="704EB9D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测量值</w:t>
            </w:r>
          </w:p>
        </w:tc>
        <w:tc>
          <w:tcPr>
            <w:tcW w:w="3261" w:type="dxa"/>
          </w:tcPr>
          <w:p w14:paraId="133472BB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2个双字节整数，分别为测量值、测量值小数位数。</w:t>
            </w:r>
          </w:p>
        </w:tc>
        <w:tc>
          <w:tcPr>
            <w:tcW w:w="1559" w:type="dxa"/>
            <w:vAlign w:val="center"/>
          </w:tcPr>
          <w:p w14:paraId="4C948433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2（4字节）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64806C2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19758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1775B31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44097</w:t>
            </w:r>
          </w:p>
          <w:p w14:paraId="11C74ED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(0x1000)</w:t>
            </w:r>
          </w:p>
        </w:tc>
        <w:tc>
          <w:tcPr>
            <w:tcW w:w="1425" w:type="dxa"/>
            <w:vAlign w:val="center"/>
          </w:tcPr>
          <w:p w14:paraId="5101026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</w:t>
            </w:r>
          </w:p>
        </w:tc>
        <w:tc>
          <w:tcPr>
            <w:tcW w:w="3261" w:type="dxa"/>
          </w:tcPr>
          <w:p w14:paraId="574365D2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vAlign w:val="center"/>
          </w:tcPr>
          <w:p w14:paraId="4C2A60C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4A019383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</w:t>
            </w:r>
          </w:p>
        </w:tc>
      </w:tr>
      <w:tr w14:paraId="3F3B1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2C1E600E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44101</w:t>
            </w:r>
          </w:p>
          <w:p w14:paraId="7E5C84F9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(0x1004)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B7C3EB2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斜率校准</w:t>
            </w:r>
          </w:p>
        </w:tc>
        <w:tc>
          <w:tcPr>
            <w:tcW w:w="3261" w:type="dxa"/>
            <w:shd w:val="clear" w:color="auto" w:fill="auto"/>
            <w:vAlign w:val="top"/>
          </w:tcPr>
          <w:p w14:paraId="1204FAAC">
            <w:pPr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60098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2833DB0C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写/读</w:t>
            </w:r>
          </w:p>
        </w:tc>
      </w:tr>
      <w:tr w14:paraId="76DE1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5C8195B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44103</w:t>
            </w:r>
          </w:p>
          <w:p w14:paraId="5E30403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(0x1006)</w:t>
            </w:r>
          </w:p>
        </w:tc>
        <w:tc>
          <w:tcPr>
            <w:tcW w:w="1425" w:type="dxa"/>
            <w:vAlign w:val="center"/>
          </w:tcPr>
          <w:p w14:paraId="2E8CB92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零点校准值</w:t>
            </w:r>
          </w:p>
        </w:tc>
        <w:tc>
          <w:tcPr>
            <w:tcW w:w="3261" w:type="dxa"/>
            <w:vAlign w:val="center"/>
          </w:tcPr>
          <w:p w14:paraId="2E9CDBE3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读出数据为零点偏移量。</w:t>
            </w:r>
          </w:p>
        </w:tc>
        <w:tc>
          <w:tcPr>
            <w:tcW w:w="1559" w:type="dxa"/>
            <w:vAlign w:val="center"/>
          </w:tcPr>
          <w:p w14:paraId="2BEDA2A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0238AB6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3EEC2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5DFC4901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48195</w:t>
            </w:r>
          </w:p>
          <w:p w14:paraId="0B3F06D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(0x2002)</w:t>
            </w:r>
          </w:p>
        </w:tc>
        <w:tc>
          <w:tcPr>
            <w:tcW w:w="1425" w:type="dxa"/>
            <w:vAlign w:val="center"/>
          </w:tcPr>
          <w:p w14:paraId="2FADA0E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传感器地址</w:t>
            </w:r>
          </w:p>
        </w:tc>
        <w:tc>
          <w:tcPr>
            <w:tcW w:w="3261" w:type="dxa"/>
          </w:tcPr>
          <w:p w14:paraId="040AFBB4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默认为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，写入数据范围1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。</w:t>
            </w:r>
          </w:p>
        </w:tc>
        <w:tc>
          <w:tcPr>
            <w:tcW w:w="1559" w:type="dxa"/>
            <w:vAlign w:val="center"/>
          </w:tcPr>
          <w:p w14:paraId="5A1B25D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1C8A3BCD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写/读</w:t>
            </w:r>
          </w:p>
        </w:tc>
      </w:tr>
      <w:tr w14:paraId="46BF7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7EC4EE16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48196</w:t>
            </w:r>
          </w:p>
          <w:p w14:paraId="306D3F98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(0x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2003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425" w:type="dxa"/>
            <w:vAlign w:val="center"/>
          </w:tcPr>
          <w:p w14:paraId="04A5D79A"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波特率</w:t>
            </w:r>
          </w:p>
        </w:tc>
        <w:tc>
          <w:tcPr>
            <w:tcW w:w="3261" w:type="dxa"/>
            <w:vAlign w:val="top"/>
          </w:tcPr>
          <w:p w14:paraId="46074E3B">
            <w:pPr>
              <w:widowControl/>
              <w:spacing w:line="400" w:lineRule="atLeas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默认为 9600。0--9600，</w:t>
            </w:r>
          </w:p>
          <w:p w14:paraId="5A46A784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59" w:type="dxa"/>
            <w:vAlign w:val="center"/>
          </w:tcPr>
          <w:p w14:paraId="0D4DCD8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3263505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07FE5EDB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命令示例</w:t>
      </w:r>
    </w:p>
    <w:p w14:paraId="7A2DD0EF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开始测量指令</w:t>
      </w:r>
    </w:p>
    <w:p w14:paraId="5EBECDF2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作用：获取传感器测量的ORP，ORP的单位为mV。</w:t>
      </w:r>
    </w:p>
    <w:p w14:paraId="583D2EB3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04 03 00 00 00 02 C4 5E </w:t>
      </w:r>
    </w:p>
    <w:p w14:paraId="72C6EA2E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03 04 00 78 00 00 2F 2A</w:t>
      </w:r>
    </w:p>
    <w:p w14:paraId="68363755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1"/>
        <w:tblpPr w:leftFromText="180" w:rightFromText="180" w:vertAnchor="text" w:horzAnchor="page" w:tblpX="3227" w:tblpY="44"/>
        <w:tblOverlap w:val="never"/>
        <w:tblW w:w="2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</w:tblGrid>
      <w:tr w14:paraId="57C9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7545ABF">
            <w:pPr>
              <w:pStyle w:val="22"/>
              <w:ind w:left="-71" w:leftChars="-34"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ORP值</w:t>
            </w:r>
          </w:p>
        </w:tc>
      </w:tr>
      <w:tr w14:paraId="3E35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A9180F">
            <w:pPr>
              <w:pStyle w:val="22"/>
              <w:ind w:left="-71" w:leftChars="-34" w:firstLine="360" w:firstLineChars="1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00 78 00 00</w:t>
            </w:r>
          </w:p>
        </w:tc>
      </w:tr>
    </w:tbl>
    <w:p w14:paraId="5C29AF50">
      <w:pPr>
        <w:pStyle w:val="22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3FE8826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1DE18D8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2C63A5A6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如，ORP值： 00 78 表示十六进制读数ORP值，00 00 表示ORP数值不带小数点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，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转换成十进制数值为120。</w:t>
      </w:r>
    </w:p>
    <w:p w14:paraId="55EF1A09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</w:t>
      </w:r>
    </w:p>
    <w:p w14:paraId="43C6A265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ORP传感器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两点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校准，在使用另一种校准液校准前，必须使用后一种校准液清洗电极，否则将引起较大的测试误差。</w:t>
      </w:r>
    </w:p>
    <w:p w14:paraId="0B5290B9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零点校准</w:t>
      </w:r>
    </w:p>
    <w:p w14:paraId="3C0C6791">
      <w:pPr>
        <w:pStyle w:val="22"/>
        <w:ind w:left="420"/>
        <w:rPr>
          <w:rFonts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零点校准值。在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-40mV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标准液中校准，示例如下：</w:t>
      </w:r>
    </w:p>
    <w:p w14:paraId="19F0CD0F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32341183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72E54EB1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斜率校准</w:t>
      </w:r>
    </w:p>
    <w:p w14:paraId="383F7B6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斜率校准值。在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256mV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的标准液中校准，示例如下：</w:t>
      </w:r>
    </w:p>
    <w:p w14:paraId="0345C355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；</w:t>
      </w:r>
    </w:p>
    <w:p w14:paraId="1FA8B1B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7FB1B571">
      <w:pPr>
        <w:pStyle w:val="22"/>
        <w:ind w:left="420"/>
        <w:jc w:val="left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注意：ORP值有负值，应答数据大于0x7FFF（十进制：32767），则实测值=应答数据-0xFFFF；如-40mV其计算方法为：应答数据为0xFFD7，则实测值=0xFFD7-0xFFFF=65495-65535=-40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4D3A4503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</w:t>
      </w:r>
    </w:p>
    <w:p w14:paraId="2032A21D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作用：设置传感器的Modbus设备地址；</w:t>
      </w:r>
    </w:p>
    <w:p w14:paraId="460DEE81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将传感器地址0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改为01，范例如下</w:t>
      </w:r>
    </w:p>
    <w:p w14:paraId="24CA35BF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04 06 20 02 00 01 E2 5F </w:t>
      </w:r>
    </w:p>
    <w:p w14:paraId="78D620B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04 06 20 02 00 01 E2 5F </w:t>
      </w:r>
    </w:p>
    <w:p w14:paraId="3AD8D356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错误响应</w:t>
      </w:r>
    </w:p>
    <w:p w14:paraId="62B49E4F">
      <w:pPr>
        <w:spacing w:after="156" w:afterLines="50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1"/>
        <w:tblW w:w="5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1312"/>
        <w:gridCol w:w="1444"/>
        <w:gridCol w:w="1260"/>
      </w:tblGrid>
      <w:tr w14:paraId="5EE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33A123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944" w:type="dxa"/>
            <w:tcBorders>
              <w:top w:val="single" w:color="auto" w:sz="6" w:space="0"/>
            </w:tcBorders>
            <w:vAlign w:val="center"/>
          </w:tcPr>
          <w:p w14:paraId="44CE87D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07BD30D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444" w:type="dxa"/>
            <w:tcBorders>
              <w:top w:val="single" w:color="auto" w:sz="6" w:space="0"/>
            </w:tcBorders>
            <w:vAlign w:val="center"/>
          </w:tcPr>
          <w:p w14:paraId="4BCB5F6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2DB86C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6FE6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</w:tcBorders>
            <w:vAlign w:val="center"/>
          </w:tcPr>
          <w:p w14:paraId="382154D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944" w:type="dxa"/>
            <w:vAlign w:val="center"/>
          </w:tcPr>
          <w:p w14:paraId="3832410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469C439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444" w:type="dxa"/>
            <w:vAlign w:val="center"/>
          </w:tcPr>
          <w:p w14:paraId="34CD3D0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4D3444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 16</w:t>
            </w:r>
          </w:p>
        </w:tc>
      </w:tr>
      <w:tr w14:paraId="3DBA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2DB277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944" w:type="dxa"/>
            <w:tcBorders>
              <w:bottom w:val="single" w:color="auto" w:sz="6" w:space="0"/>
            </w:tcBorders>
            <w:vAlign w:val="center"/>
          </w:tcPr>
          <w:p w14:paraId="4A955D4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0701DEF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4" w:type="dxa"/>
            <w:tcBorders>
              <w:bottom w:val="single" w:color="auto" w:sz="6" w:space="0"/>
            </w:tcBorders>
            <w:vAlign w:val="center"/>
          </w:tcPr>
          <w:p w14:paraId="09EDEF7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0641FD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79B19538">
      <w:pPr>
        <w:pStyle w:val="19"/>
        <w:numPr>
          <w:ilvl w:val="0"/>
          <w:numId w:val="15"/>
        </w:numPr>
        <w:suppressAutoHyphens w:val="0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79F07993">
      <w:pPr>
        <w:pStyle w:val="19"/>
        <w:suppressAutoHyphens w:val="0"/>
        <w:ind w:firstLine="1740" w:firstLineChars="725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03 – 数据错</w:t>
      </w:r>
    </w:p>
    <w:p w14:paraId="241496CF">
      <w:pPr>
        <w:pStyle w:val="19"/>
        <w:numPr>
          <w:ilvl w:val="0"/>
          <w:numId w:val="15"/>
        </w:numPr>
        <w:suppressAutoHyphens w:val="0"/>
        <w:spacing w:before="156" w:beforeLines="50"/>
        <w:ind w:left="845" w:firstLineChars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AB25B">
    <w:pPr>
      <w:pStyle w:val="7"/>
      <w:jc w:val="both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 xml:space="preserve">凯米斯科技                        </w:t>
    </w:r>
    <w:r>
      <w:rPr>
        <w:rFonts w:ascii="Times New Roman" w:hAnsi="Times New Roman" w:eastAsia="宋体" w:cs="Times New Roman"/>
      </w:rPr>
      <w:t xml:space="preserve">         </w:t>
    </w:r>
    <w:r>
      <w:rPr>
        <w:rFonts w:hint="eastAsia" w:ascii="Times New Roman" w:hAnsi="Times New Roman" w:eastAsia="宋体" w:cs="Times New Roman"/>
        <w:lang w:val="en-US" w:eastAsia="zh-CN"/>
      </w:rPr>
      <w:t xml:space="preserve">       </w:t>
    </w:r>
    <w:r>
      <w:rPr>
        <w:rFonts w:ascii="Times New Roman" w:hAnsi="Times New Roman" w:eastAsia="宋体" w:cs="Times New Roman"/>
      </w:rPr>
      <w:t xml:space="preserve"> 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6</w:t>
    </w:r>
    <w:r>
      <w:rPr>
        <w:rFonts w:ascii="Times New Roman" w:hAnsi="Times New Roman" w:eastAsia="宋体" w:cs="Times New Roman"/>
      </w:rPr>
      <w:fldChar w:fldCharType="end"/>
    </w:r>
    <w:r>
      <w:rPr>
        <w:rFonts w:ascii="Times New Roman" w:hAnsi="Times New Roman" w:eastAsia="宋体" w:cs="Times New Roman"/>
      </w:rPr>
      <w:t xml:space="preserve"> /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NUMPAGES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9</w:t>
    </w:r>
    <w:r>
      <w:rPr>
        <w:rFonts w:ascii="Times New Roman" w:hAnsi="Times New Roman" w:eastAsia="宋体" w:cs="Times New Roman"/>
      </w:rPr>
      <w:fldChar w:fldCharType="end"/>
    </w:r>
  </w:p>
  <w:p w14:paraId="004F4764">
    <w:pPr>
      <w:rPr>
        <w:rFonts w:ascii="Times New Roman" w:hAnsi="Times New Roman" w:eastAsia="宋体" w:cs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ascii="Times New Roman" w:hAnsi="Times New Roman" w:eastAsia="宋体" w:cs="Times New Roman"/>
        <w:sz w:val="18"/>
        <w:szCs w:val="18"/>
      </w:rPr>
      <w:t>www.chemins-tech.com</w:t>
    </w:r>
    <w:r>
      <w:rPr>
        <w:rStyle w:val="14"/>
        <w:rFonts w:ascii="Times New Roman" w:hAnsi="Times New Roman" w:eastAsia="宋体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D2787">
    <w:pPr>
      <w:pStyle w:val="7"/>
    </w:pPr>
    <w:r>
      <w:rPr>
        <w:rFonts w:hint="eastAsia"/>
      </w:rPr>
      <w:t xml:space="preserve">烟台凯米斯仪器有限公司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7D928132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hint="eastAsia"/>
      </w:rPr>
      <w:t>www.chemins-tech.com</w:t>
    </w:r>
    <w:r>
      <w:rPr>
        <w:rStyle w:val="14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7813">
    <w:pPr>
      <w:pStyle w:val="8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-295910</wp:posOffset>
          </wp:positionV>
          <wp:extent cx="1700530" cy="404495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3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D2DF">
    <w:pPr>
      <w:pStyle w:val="8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-272415</wp:posOffset>
          </wp:positionV>
          <wp:extent cx="1699895" cy="404495"/>
          <wp:effectExtent l="1905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D6D24"/>
    <w:multiLevelType w:val="multilevel"/>
    <w:tmpl w:val="038D6D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  <w:rPr>
        <w:rFonts w:hint="default" w:ascii="Times New Roman" w:hAnsi="Times New Roman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D7149FF"/>
    <w:multiLevelType w:val="multilevel"/>
    <w:tmpl w:val="0D7149F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A0D64"/>
    <w:multiLevelType w:val="multilevel"/>
    <w:tmpl w:val="234A0D6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37B523C"/>
    <w:multiLevelType w:val="multilevel"/>
    <w:tmpl w:val="237B52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24440C3C"/>
    <w:multiLevelType w:val="multilevel"/>
    <w:tmpl w:val="24440C3C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66872F6"/>
    <w:multiLevelType w:val="multilevel"/>
    <w:tmpl w:val="366872F6"/>
    <w:lvl w:ilvl="0" w:tentative="0">
      <w:start w:val="1"/>
      <w:numFmt w:val="lowerLetter"/>
      <w:lvlText w:val="%1)"/>
      <w:lvlJc w:val="left"/>
      <w:pPr>
        <w:ind w:left="905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325" w:hanging="420"/>
      </w:pPr>
    </w:lvl>
    <w:lvl w:ilvl="2" w:tentative="0">
      <w:start w:val="1"/>
      <w:numFmt w:val="lowerRoman"/>
      <w:lvlText w:val="%3."/>
      <w:lvlJc w:val="right"/>
      <w:pPr>
        <w:ind w:left="1745" w:hanging="420"/>
      </w:pPr>
    </w:lvl>
    <w:lvl w:ilvl="3" w:tentative="0">
      <w:start w:val="1"/>
      <w:numFmt w:val="decimal"/>
      <w:lvlText w:val="%4."/>
      <w:lvlJc w:val="left"/>
      <w:pPr>
        <w:ind w:left="2165" w:hanging="420"/>
      </w:pPr>
    </w:lvl>
    <w:lvl w:ilvl="4" w:tentative="0">
      <w:start w:val="1"/>
      <w:numFmt w:val="lowerLetter"/>
      <w:lvlText w:val="%5)"/>
      <w:lvlJc w:val="left"/>
      <w:pPr>
        <w:ind w:left="2585" w:hanging="420"/>
      </w:pPr>
    </w:lvl>
    <w:lvl w:ilvl="5" w:tentative="0">
      <w:start w:val="1"/>
      <w:numFmt w:val="lowerRoman"/>
      <w:lvlText w:val="%6."/>
      <w:lvlJc w:val="right"/>
      <w:pPr>
        <w:ind w:left="3005" w:hanging="420"/>
      </w:pPr>
    </w:lvl>
    <w:lvl w:ilvl="6" w:tentative="0">
      <w:start w:val="1"/>
      <w:numFmt w:val="decimal"/>
      <w:lvlText w:val="%7."/>
      <w:lvlJc w:val="left"/>
      <w:pPr>
        <w:ind w:left="3425" w:hanging="420"/>
      </w:pPr>
    </w:lvl>
    <w:lvl w:ilvl="7" w:tentative="0">
      <w:start w:val="1"/>
      <w:numFmt w:val="lowerLetter"/>
      <w:lvlText w:val="%8)"/>
      <w:lvlJc w:val="left"/>
      <w:pPr>
        <w:ind w:left="3845" w:hanging="420"/>
      </w:pPr>
    </w:lvl>
    <w:lvl w:ilvl="8" w:tentative="0">
      <w:start w:val="1"/>
      <w:numFmt w:val="lowerRoman"/>
      <w:lvlText w:val="%9."/>
      <w:lvlJc w:val="right"/>
      <w:pPr>
        <w:ind w:left="4265" w:hanging="420"/>
      </w:pPr>
    </w:lvl>
  </w:abstractNum>
  <w:abstractNum w:abstractNumId="7">
    <w:nsid w:val="3F1C60D7"/>
    <w:multiLevelType w:val="multilevel"/>
    <w:tmpl w:val="3F1C60D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4236473F"/>
    <w:multiLevelType w:val="multilevel"/>
    <w:tmpl w:val="4236473F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57625D98"/>
    <w:multiLevelType w:val="singleLevel"/>
    <w:tmpl w:val="57625D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2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2E62309"/>
    <w:multiLevelType w:val="multilevel"/>
    <w:tmpl w:val="72E62309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cs="Times New Roman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YjJkMGIyYmZkOTBlMzJmNzk5ZTJmZTczMTFmYzEifQ=="/>
  </w:docVars>
  <w:rsids>
    <w:rsidRoot w:val="009B2A0B"/>
    <w:rsid w:val="00002CBC"/>
    <w:rsid w:val="00002D37"/>
    <w:rsid w:val="00004917"/>
    <w:rsid w:val="000217AD"/>
    <w:rsid w:val="00021EFB"/>
    <w:rsid w:val="00041F74"/>
    <w:rsid w:val="000666B7"/>
    <w:rsid w:val="000859D0"/>
    <w:rsid w:val="000867D2"/>
    <w:rsid w:val="000A7E38"/>
    <w:rsid w:val="000B0D88"/>
    <w:rsid w:val="000E722C"/>
    <w:rsid w:val="00105AE2"/>
    <w:rsid w:val="001266D0"/>
    <w:rsid w:val="001409F4"/>
    <w:rsid w:val="00147FFD"/>
    <w:rsid w:val="00197EA6"/>
    <w:rsid w:val="001C0E93"/>
    <w:rsid w:val="001C54AE"/>
    <w:rsid w:val="001D6FF0"/>
    <w:rsid w:val="001E6EDC"/>
    <w:rsid w:val="001F73CA"/>
    <w:rsid w:val="002063E1"/>
    <w:rsid w:val="00234882"/>
    <w:rsid w:val="00235550"/>
    <w:rsid w:val="002A1AD3"/>
    <w:rsid w:val="002C71B5"/>
    <w:rsid w:val="002D1371"/>
    <w:rsid w:val="0030184B"/>
    <w:rsid w:val="003049AC"/>
    <w:rsid w:val="003377F7"/>
    <w:rsid w:val="00353BB4"/>
    <w:rsid w:val="00357741"/>
    <w:rsid w:val="003734C2"/>
    <w:rsid w:val="00394307"/>
    <w:rsid w:val="003A0A21"/>
    <w:rsid w:val="003B7267"/>
    <w:rsid w:val="003D2684"/>
    <w:rsid w:val="003F3907"/>
    <w:rsid w:val="003F7628"/>
    <w:rsid w:val="00453A83"/>
    <w:rsid w:val="00460D5B"/>
    <w:rsid w:val="004A792E"/>
    <w:rsid w:val="004B3531"/>
    <w:rsid w:val="004B6275"/>
    <w:rsid w:val="004D15AE"/>
    <w:rsid w:val="004E1F1E"/>
    <w:rsid w:val="004E6187"/>
    <w:rsid w:val="004F3E6C"/>
    <w:rsid w:val="00511CDC"/>
    <w:rsid w:val="00524A68"/>
    <w:rsid w:val="005418AE"/>
    <w:rsid w:val="00556273"/>
    <w:rsid w:val="00565B47"/>
    <w:rsid w:val="0059401B"/>
    <w:rsid w:val="005A0AF0"/>
    <w:rsid w:val="005A3698"/>
    <w:rsid w:val="00601CB6"/>
    <w:rsid w:val="00613947"/>
    <w:rsid w:val="006212C1"/>
    <w:rsid w:val="00630486"/>
    <w:rsid w:val="00634091"/>
    <w:rsid w:val="00665DB3"/>
    <w:rsid w:val="00692E1F"/>
    <w:rsid w:val="006B7EE7"/>
    <w:rsid w:val="006E3DED"/>
    <w:rsid w:val="00780B97"/>
    <w:rsid w:val="007879D6"/>
    <w:rsid w:val="007C5E10"/>
    <w:rsid w:val="007E06C6"/>
    <w:rsid w:val="00830AFA"/>
    <w:rsid w:val="00837C2E"/>
    <w:rsid w:val="008A5BD0"/>
    <w:rsid w:val="008A5F56"/>
    <w:rsid w:val="008C68CB"/>
    <w:rsid w:val="008E3085"/>
    <w:rsid w:val="00907F63"/>
    <w:rsid w:val="0092613D"/>
    <w:rsid w:val="00933354"/>
    <w:rsid w:val="00933B9C"/>
    <w:rsid w:val="00941B53"/>
    <w:rsid w:val="00944844"/>
    <w:rsid w:val="00970497"/>
    <w:rsid w:val="009711CD"/>
    <w:rsid w:val="00985B68"/>
    <w:rsid w:val="009B1788"/>
    <w:rsid w:val="009B2A0B"/>
    <w:rsid w:val="009C50DC"/>
    <w:rsid w:val="009E37B3"/>
    <w:rsid w:val="009E4813"/>
    <w:rsid w:val="00A12F47"/>
    <w:rsid w:val="00A130FA"/>
    <w:rsid w:val="00A414B6"/>
    <w:rsid w:val="00A458AD"/>
    <w:rsid w:val="00A45F71"/>
    <w:rsid w:val="00A76898"/>
    <w:rsid w:val="00A80424"/>
    <w:rsid w:val="00AA327B"/>
    <w:rsid w:val="00B3245D"/>
    <w:rsid w:val="00B44026"/>
    <w:rsid w:val="00B45A30"/>
    <w:rsid w:val="00B61336"/>
    <w:rsid w:val="00B74EEE"/>
    <w:rsid w:val="00C05DF3"/>
    <w:rsid w:val="00C076AC"/>
    <w:rsid w:val="00C3076B"/>
    <w:rsid w:val="00CA0618"/>
    <w:rsid w:val="00CC2556"/>
    <w:rsid w:val="00CD6AFA"/>
    <w:rsid w:val="00CE64E2"/>
    <w:rsid w:val="00D10B28"/>
    <w:rsid w:val="00D1708A"/>
    <w:rsid w:val="00D24599"/>
    <w:rsid w:val="00D44F5D"/>
    <w:rsid w:val="00D4755C"/>
    <w:rsid w:val="00D60B28"/>
    <w:rsid w:val="00DA1950"/>
    <w:rsid w:val="00DC17AC"/>
    <w:rsid w:val="00DC4CDC"/>
    <w:rsid w:val="00DE35AF"/>
    <w:rsid w:val="00E07476"/>
    <w:rsid w:val="00E15DEA"/>
    <w:rsid w:val="00E23831"/>
    <w:rsid w:val="00E422AC"/>
    <w:rsid w:val="00E61268"/>
    <w:rsid w:val="00E62B61"/>
    <w:rsid w:val="00E74649"/>
    <w:rsid w:val="00E834AE"/>
    <w:rsid w:val="00E871E0"/>
    <w:rsid w:val="00EA2F37"/>
    <w:rsid w:val="00EB6702"/>
    <w:rsid w:val="00EC24F4"/>
    <w:rsid w:val="00ED5A06"/>
    <w:rsid w:val="00EF2F3F"/>
    <w:rsid w:val="00F21AF1"/>
    <w:rsid w:val="00F36A5C"/>
    <w:rsid w:val="00F4196C"/>
    <w:rsid w:val="00F62A1F"/>
    <w:rsid w:val="00F828D1"/>
    <w:rsid w:val="00F914C1"/>
    <w:rsid w:val="00FA384A"/>
    <w:rsid w:val="00FE3548"/>
    <w:rsid w:val="00FF6288"/>
    <w:rsid w:val="0107001C"/>
    <w:rsid w:val="01886464"/>
    <w:rsid w:val="02085CDC"/>
    <w:rsid w:val="08996BE7"/>
    <w:rsid w:val="0C8E55BA"/>
    <w:rsid w:val="0D02213C"/>
    <w:rsid w:val="0D51068F"/>
    <w:rsid w:val="0E1C39B9"/>
    <w:rsid w:val="14131F48"/>
    <w:rsid w:val="176E5C03"/>
    <w:rsid w:val="19FD4900"/>
    <w:rsid w:val="1BB92600"/>
    <w:rsid w:val="1BD1125C"/>
    <w:rsid w:val="1F6E4FDB"/>
    <w:rsid w:val="1FC3151D"/>
    <w:rsid w:val="23EF64FB"/>
    <w:rsid w:val="24B66AB8"/>
    <w:rsid w:val="25DB6839"/>
    <w:rsid w:val="278B4657"/>
    <w:rsid w:val="2ABB4FF5"/>
    <w:rsid w:val="2EC60C7D"/>
    <w:rsid w:val="32F458D5"/>
    <w:rsid w:val="34581A18"/>
    <w:rsid w:val="3A4C0FEC"/>
    <w:rsid w:val="3BF709AC"/>
    <w:rsid w:val="3CD13DD3"/>
    <w:rsid w:val="3F253E61"/>
    <w:rsid w:val="4050122C"/>
    <w:rsid w:val="411308A7"/>
    <w:rsid w:val="41256784"/>
    <w:rsid w:val="41297D82"/>
    <w:rsid w:val="43CD322A"/>
    <w:rsid w:val="46F422E0"/>
    <w:rsid w:val="48122FD2"/>
    <w:rsid w:val="48C5158D"/>
    <w:rsid w:val="49A744DF"/>
    <w:rsid w:val="4A3B1213"/>
    <w:rsid w:val="4E1A0787"/>
    <w:rsid w:val="51B07DB8"/>
    <w:rsid w:val="51DE6DCA"/>
    <w:rsid w:val="5454578F"/>
    <w:rsid w:val="55C87B66"/>
    <w:rsid w:val="5857116E"/>
    <w:rsid w:val="591E439C"/>
    <w:rsid w:val="60BE3CF5"/>
    <w:rsid w:val="63D14303"/>
    <w:rsid w:val="64A56C4D"/>
    <w:rsid w:val="6B954FED"/>
    <w:rsid w:val="702E20FA"/>
    <w:rsid w:val="71B728BF"/>
    <w:rsid w:val="7A6855BC"/>
    <w:rsid w:val="7BBA677D"/>
    <w:rsid w:val="7C6F3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3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3"/>
    <w:link w:val="4"/>
    <w:autoRedefine/>
    <w:qFormat/>
    <w:uiPriority w:val="9"/>
    <w:rPr>
      <w:b/>
      <w:bCs/>
      <w:sz w:val="32"/>
      <w:szCs w:val="32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suppressAutoHyphens/>
      <w:ind w:firstLine="420" w:firstLineChars="200"/>
      <w:jc w:val="left"/>
    </w:pPr>
    <w:rPr>
      <w:rFonts w:ascii="Times" w:hAnsi="Times" w:eastAsia="宋体" w:cs="Times New Roman"/>
      <w:kern w:val="1"/>
      <w:sz w:val="28"/>
      <w:szCs w:val="24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2">
    <w:name w:val="列出段落2"/>
    <w:basedOn w:val="1"/>
    <w:autoRedefine/>
    <w:qFormat/>
    <w:uiPriority w:val="34"/>
  </w:style>
  <w:style w:type="paragraph" w:customStyle="1" w:styleId="23">
    <w:name w:val="Table Paragraph"/>
    <w:basedOn w:val="1"/>
    <w:autoRedefine/>
    <w:qFormat/>
    <w:uiPriority w:val="1"/>
  </w:style>
  <w:style w:type="character" w:customStyle="1" w:styleId="24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customStyle="1" w:styleId="26">
    <w:name w:val="列出段落3"/>
    <w:basedOn w:val="1"/>
    <w:autoRedefine/>
    <w:qFormat/>
    <w:uiPriority w:val="34"/>
    <w:pPr>
      <w:ind w:firstLine="420" w:firstLineChars="200"/>
    </w:pPr>
  </w:style>
  <w:style w:type="paragraph" w:customStyle="1" w:styleId="27">
    <w:name w:val="列出段落31"/>
    <w:basedOn w:val="1"/>
    <w:autoRedefine/>
    <w:qFormat/>
    <w:uiPriority w:val="99"/>
    <w:pPr>
      <w:ind w:firstLine="420" w:firstLineChars="200"/>
    </w:p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02B1-FCDE-4F49-B95F-36D519606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</Company>
  <Pages>9</Pages>
  <Words>2637</Words>
  <Characters>3317</Characters>
  <Lines>35</Lines>
  <Paragraphs>9</Paragraphs>
  <TotalTime>0</TotalTime>
  <ScaleCrop>false</ScaleCrop>
  <LinksUpToDate>false</LinksUpToDate>
  <CharactersWithSpaces>3677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2017-05-26T02:28:00Z</dcterms:created>
  <dc:creator>Administrator</dc:creator>
  <cp:lastModifiedBy>zhu</cp:lastModifiedBy>
  <cp:lastPrinted>2020-03-17T03:24:00Z</cp:lastPrinted>
  <dcterms:modified xsi:type="dcterms:W3CDTF">2026-04-02T09:18:27Z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2356D33E9B654DA7A0A5D5D338C17B4D_13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