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E490C">
      <w:pPr>
        <w:jc w:val="center"/>
        <w:rPr>
          <w:rFonts w:ascii="Times New Roman" w:hAnsi="Times New Roman" w:eastAsia="宋体" w:cs="Times New Roman"/>
          <w:b/>
          <w:sz w:val="52"/>
          <w:szCs w:val="52"/>
          <w:highlight w:val="none"/>
        </w:rPr>
      </w:pPr>
      <w:bookmarkStart w:id="42" w:name="_GoBack"/>
      <w:r>
        <w:rPr>
          <w:rFonts w:ascii="Times New Roman" w:hAnsi="Times New Roman" w:eastAsia="宋体" w:cs="Times New Roman"/>
          <w:b/>
          <w:sz w:val="52"/>
          <w:szCs w:val="52"/>
          <w:highlight w:val="none"/>
        </w:rPr>
        <w:t>PHG-</w:t>
      </w:r>
      <w:r>
        <w:rPr>
          <w:rFonts w:hint="eastAsia" w:ascii="Times New Roman" w:hAnsi="Times New Roman" w:eastAsia="宋体" w:cs="Times New Roman"/>
          <w:b/>
          <w:sz w:val="52"/>
          <w:szCs w:val="52"/>
          <w:highlight w:val="none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sz w:val="52"/>
          <w:szCs w:val="52"/>
          <w:highlight w:val="none"/>
        </w:rPr>
        <w:t>06在线</w:t>
      </w:r>
      <w:r>
        <w:rPr>
          <w:rFonts w:hint="eastAsia" w:ascii="Times New Roman" w:hAnsi="Times New Roman" w:eastAsia="宋体" w:cs="Times New Roman"/>
          <w:b/>
          <w:sz w:val="52"/>
          <w:szCs w:val="52"/>
          <w:highlight w:val="none"/>
        </w:rPr>
        <w:t>pH</w:t>
      </w:r>
      <w:r>
        <w:rPr>
          <w:rFonts w:ascii="Times New Roman" w:hAnsi="Times New Roman" w:eastAsia="宋体" w:cs="Times New Roman"/>
          <w:b/>
          <w:sz w:val="52"/>
          <w:szCs w:val="52"/>
          <w:highlight w:val="none"/>
        </w:rPr>
        <w:t>传感器</w:t>
      </w:r>
    </w:p>
    <w:p w14:paraId="22DF6F58">
      <w:pPr>
        <w:jc w:val="center"/>
        <w:rPr>
          <w:rFonts w:ascii="Times New Roman" w:hAnsi="Times New Roman" w:eastAsia="宋体" w:cs="Times New Roman"/>
          <w:b/>
          <w:sz w:val="52"/>
          <w:szCs w:val="52"/>
          <w:highlight w:val="none"/>
        </w:rPr>
      </w:pPr>
      <w:r>
        <w:rPr>
          <w:rFonts w:ascii="Times New Roman" w:hAnsi="Times New Roman" w:eastAsia="宋体" w:cs="Times New Roman"/>
          <w:b/>
          <w:sz w:val="52"/>
          <w:szCs w:val="52"/>
          <w:highlight w:val="none"/>
        </w:rPr>
        <w:t>用户手册</w:t>
      </w:r>
    </w:p>
    <w:p w14:paraId="04C2B072">
      <w:pPr>
        <w:jc w:val="center"/>
        <w:rPr>
          <w:rFonts w:ascii="Times New Roman" w:hAnsi="Times New Roman" w:eastAsia="宋体" w:cs="Times New Roman"/>
          <w:bCs/>
          <w:szCs w:val="21"/>
          <w:highlight w:val="none"/>
        </w:rPr>
      </w:pPr>
      <w:r>
        <w:rPr>
          <w:rFonts w:ascii="Times New Roman" w:hAnsi="Times New Roman" w:eastAsia="宋体" w:cs="Times New Roman"/>
          <w:b/>
          <w:szCs w:val="21"/>
          <w:highlight w:val="none"/>
        </w:rPr>
        <w:drawing>
          <wp:inline distT="0" distB="0" distL="114300" distR="114300">
            <wp:extent cx="3723005" cy="4965700"/>
            <wp:effectExtent l="0" t="0" r="1079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005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5AAD7">
      <w:pPr>
        <w:pStyle w:val="27"/>
        <w:spacing w:line="20" w:lineRule="atLeast"/>
        <w:ind w:left="73" w:leftChars="35" w:right="278" w:firstLine="198" w:firstLineChars="71"/>
        <w:jc w:val="center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杭州凯米斯物联传感科技有限公司</w:t>
      </w:r>
    </w:p>
    <w:p w14:paraId="153C0997">
      <w:pPr>
        <w:pStyle w:val="27"/>
        <w:spacing w:line="20" w:lineRule="atLeast"/>
        <w:ind w:left="73" w:leftChars="35" w:right="278" w:firstLine="198" w:firstLineChars="71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电话：400-666-0325 </w:t>
      </w:r>
    </w:p>
    <w:p w14:paraId="7ABCA05E">
      <w:pPr>
        <w:pStyle w:val="27"/>
        <w:spacing w:line="20" w:lineRule="atLeast"/>
        <w:ind w:left="280" w:right="278" w:firstLine="56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"mailto:service@chemins-tech.com" </w:instrText>
      </w:r>
      <w:r>
        <w:rPr>
          <w:highlight w:val="none"/>
        </w:rPr>
        <w:fldChar w:fldCharType="separate"/>
      </w:r>
      <w:r>
        <w:rPr>
          <w:sz w:val="28"/>
          <w:szCs w:val="28"/>
          <w:highlight w:val="none"/>
        </w:rPr>
        <w:t>service@chemins-tech.com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t xml:space="preserve">  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"http://www.chemins-tech.com" </w:instrText>
      </w:r>
      <w:r>
        <w:rPr>
          <w:highlight w:val="none"/>
        </w:rPr>
        <w:fldChar w:fldCharType="separate"/>
      </w:r>
      <w:r>
        <w:rPr>
          <w:sz w:val="28"/>
          <w:szCs w:val="28"/>
          <w:highlight w:val="none"/>
        </w:rPr>
        <w:t>www.chemins-tech.com</w:t>
      </w:r>
      <w:r>
        <w:rPr>
          <w:sz w:val="28"/>
          <w:szCs w:val="28"/>
          <w:highlight w:val="none"/>
        </w:rPr>
        <w:fldChar w:fldCharType="end"/>
      </w:r>
    </w:p>
    <w:p w14:paraId="757E3FFA">
      <w:pPr>
        <w:pStyle w:val="11"/>
        <w:tabs>
          <w:tab w:val="right" w:leader="dot" w:pos="6719"/>
        </w:tabs>
        <w:spacing w:beforeLines="100" w:line="360" w:lineRule="auto"/>
        <w:jc w:val="center"/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</w:pPr>
      <w:r>
        <w:rPr>
          <w:highlight w:val="none"/>
        </w:rPr>
        <w:drawing>
          <wp:inline distT="0" distB="0" distL="114300" distR="114300">
            <wp:extent cx="1215390" cy="1212850"/>
            <wp:effectExtent l="0" t="0" r="3810" b="635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highlight w:val="none"/>
        </w:rPr>
        <w:drawing>
          <wp:inline distT="0" distB="0" distL="114300" distR="114300">
            <wp:extent cx="1209040" cy="1213485"/>
            <wp:effectExtent l="0" t="0" r="10160" b="571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61D2E">
      <w:pPr>
        <w:pStyle w:val="11"/>
        <w:tabs>
          <w:tab w:val="right" w:leader="dot" w:pos="6719"/>
        </w:tabs>
        <w:spacing w:line="360" w:lineRule="auto"/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  <w:t>用户须知</w:t>
      </w:r>
    </w:p>
    <w:p w14:paraId="31CE2BFC">
      <w:pPr>
        <w:rPr>
          <w:rFonts w:ascii="Times New Roman" w:hAnsi="Times New Roman" w:eastAsia="宋体" w:cs="Times New Roman"/>
          <w:highlight w:val="none"/>
        </w:rPr>
      </w:pPr>
    </w:p>
    <w:p w14:paraId="5AAF9337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使用前请详细阅读本说明书，并保存以供参考。</w:t>
      </w:r>
    </w:p>
    <w:p w14:paraId="15565AC5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请遵守本说明书操作规程及注意事项。</w:t>
      </w:r>
    </w:p>
    <w:p w14:paraId="6DEC150D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在收到仪器时，请小心打开包装，检视仪器及配件是否因运送而损坏，如有发现损坏，请立即通知生产厂家及经销商，并保留包装物，以便寄回处理。</w:t>
      </w:r>
    </w:p>
    <w:p w14:paraId="2BC1A73F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当仪器发生故障，请勿自行修理，请直接联系生产厂家的维修部门。</w:t>
      </w:r>
    </w:p>
    <w:p w14:paraId="350E7246">
      <w:pPr>
        <w:rPr>
          <w:rFonts w:ascii="Times New Roman" w:hAnsi="Times New Roman" w:eastAsia="宋体" w:cs="Times New Roman"/>
          <w:color w:val="000000"/>
          <w:kern w:val="0"/>
          <w:szCs w:val="28"/>
          <w:highlight w:val="none"/>
        </w:rPr>
      </w:pPr>
    </w:p>
    <w:p w14:paraId="2EE763FF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000000"/>
          <w:highlight w:val="none"/>
        </w:rPr>
        <w:br w:type="page"/>
      </w:r>
    </w:p>
    <w:sdt>
      <w:sdt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44"/>
          <w:szCs w:val="44"/>
          <w:highlight w:val="none"/>
          <w:lang w:val="zh-CN" w:eastAsia="en-US"/>
        </w:rPr>
        <w:id w:val="21452275"/>
      </w:sdtPr>
      <w:sdtEnd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en-US"/>
        </w:rPr>
      </w:sdtEndPr>
      <w:sdtContent>
        <w:p w14:paraId="3FEADE74">
          <w:pPr>
            <w:pStyle w:val="28"/>
            <w:jc w:val="center"/>
            <w:rPr>
              <w:rFonts w:ascii="Times New Roman" w:hAnsi="Times New Roman" w:eastAsia="宋体" w:cs="Times New Roman"/>
              <w:color w:val="auto"/>
              <w:sz w:val="44"/>
              <w:szCs w:val="44"/>
              <w:highlight w:val="none"/>
            </w:rPr>
          </w:pPr>
          <w:r>
            <w:rPr>
              <w:rFonts w:ascii="Times New Roman" w:hAnsi="Times New Roman" w:eastAsia="宋体" w:cs="Times New Roman"/>
              <w:color w:val="auto"/>
              <w:sz w:val="44"/>
              <w:szCs w:val="44"/>
              <w:highlight w:val="none"/>
              <w:lang w:val="zh-CN"/>
            </w:rPr>
            <w:t>目录</w:t>
          </w:r>
        </w:p>
        <w:p w14:paraId="2F585A87">
          <w:pPr>
            <w:pStyle w:val="12"/>
            <w:tabs>
              <w:tab w:val="left" w:pos="1260"/>
              <w:tab w:val="right" w:leader="dot" w:pos="9742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TOC \o "1-3" \h \z \u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"_Toc19025317" </w:instrText>
          </w:r>
          <w:r>
            <w:rPr>
              <w:highlight w:val="none"/>
            </w:rPr>
            <w:fldChar w:fldCharType="separate"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一、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应用环境说明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_Toc19025317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4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0331713D">
          <w:pPr>
            <w:pStyle w:val="12"/>
            <w:tabs>
              <w:tab w:val="left" w:pos="1260"/>
              <w:tab w:val="right" w:leader="dot" w:pos="9742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"_Toc19025318" </w:instrText>
          </w:r>
          <w:r>
            <w:rPr>
              <w:highlight w:val="none"/>
            </w:rPr>
            <w:fldChar w:fldCharType="separate"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二、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技术性能和规格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_Toc19025318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4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7E5FC6AD">
          <w:pPr>
            <w:pStyle w:val="6"/>
            <w:tabs>
              <w:tab w:val="left" w:pos="1470"/>
              <w:tab w:val="right" w:leader="dot" w:pos="9742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"_Toc19025319" </w:instrText>
          </w:r>
          <w:r>
            <w:rPr>
              <w:highlight w:val="none"/>
            </w:rPr>
            <w:fldChar w:fldCharType="separate"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技术参数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_Toc19025319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4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009524A2">
          <w:pPr>
            <w:pStyle w:val="6"/>
            <w:tabs>
              <w:tab w:val="left" w:pos="1470"/>
              <w:tab w:val="right" w:leader="dot" w:pos="9742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"_Toc19025320" </w:instrText>
          </w:r>
          <w:r>
            <w:rPr>
              <w:highlight w:val="none"/>
            </w:rPr>
            <w:fldChar w:fldCharType="separate"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尺寸图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_Toc19025320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66EEF889">
          <w:pPr>
            <w:pStyle w:val="12"/>
            <w:tabs>
              <w:tab w:val="left" w:pos="1260"/>
              <w:tab w:val="right" w:leader="dot" w:pos="9742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"_Toc19025321" </w:instrText>
          </w:r>
          <w:r>
            <w:rPr>
              <w:highlight w:val="none"/>
            </w:rPr>
            <w:fldChar w:fldCharType="separate"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三、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安装和电气连接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_Toc19025321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299AD769">
          <w:pPr>
            <w:pStyle w:val="6"/>
            <w:tabs>
              <w:tab w:val="left" w:pos="1470"/>
              <w:tab w:val="right" w:leader="dot" w:pos="9742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"_Toc19025322" </w:instrText>
          </w:r>
          <w:r>
            <w:rPr>
              <w:highlight w:val="none"/>
            </w:rPr>
            <w:fldChar w:fldCharType="separate"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安装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_Toc19025322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0CFCA4ED">
          <w:pPr>
            <w:pStyle w:val="6"/>
            <w:tabs>
              <w:tab w:val="left" w:pos="1470"/>
              <w:tab w:val="right" w:leader="dot" w:pos="9742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"_Toc19025323" </w:instrText>
          </w:r>
          <w:r>
            <w:rPr>
              <w:highlight w:val="none"/>
            </w:rPr>
            <w:fldChar w:fldCharType="separate"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电气连接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_Toc19025323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5ECB1EED">
          <w:pPr>
            <w:pStyle w:val="12"/>
            <w:tabs>
              <w:tab w:val="left" w:pos="1260"/>
              <w:tab w:val="right" w:leader="dot" w:pos="9742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"_Toc19025324" </w:instrText>
          </w:r>
          <w:r>
            <w:rPr>
              <w:highlight w:val="none"/>
            </w:rPr>
            <w:fldChar w:fldCharType="separate"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四、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维护和保养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_Toc19025324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524FDE87">
          <w:pPr>
            <w:pStyle w:val="6"/>
            <w:tabs>
              <w:tab w:val="left" w:pos="1470"/>
              <w:tab w:val="right" w:leader="dot" w:pos="9742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"_Toc19025325" </w:instrText>
          </w:r>
          <w:r>
            <w:rPr>
              <w:highlight w:val="none"/>
            </w:rPr>
            <w:fldChar w:fldCharType="separate"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使用和保养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_Toc19025325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1A3FEB6F">
          <w:pPr>
            <w:pStyle w:val="6"/>
            <w:tabs>
              <w:tab w:val="left" w:pos="1470"/>
              <w:tab w:val="right" w:leader="dot" w:pos="9742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"_Toc19025326" </w:instrText>
          </w:r>
          <w:r>
            <w:rPr>
              <w:highlight w:val="none"/>
            </w:rPr>
            <w:fldChar w:fldCharType="separate"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校准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_Toc19025326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0BDB5116">
          <w:pPr>
            <w:pStyle w:val="12"/>
            <w:tabs>
              <w:tab w:val="left" w:pos="1260"/>
              <w:tab w:val="right" w:leader="dot" w:pos="9742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"_Toc19025327" </w:instrText>
          </w:r>
          <w:r>
            <w:rPr>
              <w:highlight w:val="none"/>
            </w:rPr>
            <w:fldChar w:fldCharType="separate"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五、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质量和服务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_Toc19025327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7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6EBFF52C">
          <w:pPr>
            <w:pStyle w:val="6"/>
            <w:tabs>
              <w:tab w:val="left" w:pos="1470"/>
              <w:tab w:val="right" w:leader="dot" w:pos="9742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"_Toc19025328" </w:instrText>
          </w:r>
          <w:r>
            <w:rPr>
              <w:highlight w:val="none"/>
            </w:rPr>
            <w:fldChar w:fldCharType="separate"/>
          </w:r>
          <w:r>
            <w:rPr>
              <w:rStyle w:val="16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6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质量保证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_Toc19025328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7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5DEEE96B">
          <w:pPr>
            <w:pStyle w:val="6"/>
            <w:tabs>
              <w:tab w:val="left" w:pos="1470"/>
              <w:tab w:val="right" w:leader="dot" w:pos="9742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"_Toc19025329" </w:instrText>
          </w:r>
          <w:r>
            <w:rPr>
              <w:highlight w:val="none"/>
            </w:rPr>
            <w:fldChar w:fldCharType="separate"/>
          </w:r>
          <w:r>
            <w:rPr>
              <w:rStyle w:val="16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6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配件和备件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_Toc19025329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7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52885D6A">
          <w:pPr>
            <w:pStyle w:val="6"/>
            <w:tabs>
              <w:tab w:val="left" w:pos="1470"/>
              <w:tab w:val="right" w:leader="dot" w:pos="9742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"_Toc19025330" </w:instrText>
          </w:r>
          <w:r>
            <w:rPr>
              <w:highlight w:val="none"/>
            </w:rPr>
            <w:fldChar w:fldCharType="separate"/>
          </w:r>
          <w:r>
            <w:rPr>
              <w:rStyle w:val="16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3.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6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售后服务承诺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_Toc19025330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7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5AB3E379">
          <w:pPr>
            <w:pStyle w:val="12"/>
            <w:tabs>
              <w:tab w:val="right" w:leader="dot" w:pos="9742"/>
            </w:tabs>
            <w:rPr>
              <w:rFonts w:ascii="Times New Roman" w:hAnsi="Times New Roman" w:eastAsia="宋体" w:cs="Times New Roman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"_Toc19025331" </w:instrText>
          </w:r>
          <w:r>
            <w:rPr>
              <w:highlight w:val="none"/>
            </w:rPr>
            <w:fldChar w:fldCharType="separate"/>
          </w:r>
          <w:r>
            <w:rPr>
              <w:rStyle w:val="16"/>
              <w:rFonts w:ascii="Times New Roman" w:hAnsi="Times New Roman" w:eastAsia="宋体" w:cs="Times New Roman"/>
              <w:sz w:val="28"/>
              <w:szCs w:val="28"/>
              <w:highlight w:val="none"/>
            </w:rPr>
            <w:t>附录 数据通信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_Toc19025331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8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7F5542C3">
          <w:pPr>
            <w:rPr>
              <w:rFonts w:ascii="Times New Roman" w:hAnsi="Times New Roman" w:eastAsia="宋体" w:cs="Times New Roman"/>
              <w:sz w:val="32"/>
              <w:szCs w:val="32"/>
              <w:highlight w:val="none"/>
            </w:rPr>
          </w:pP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</w:sdtContent>
    </w:sdt>
    <w:p w14:paraId="74154D75">
      <w:pPr>
        <w:widowControl/>
        <w:jc w:val="left"/>
        <w:rPr>
          <w:rFonts w:ascii="Times New Roman" w:hAnsi="Times New Roman" w:eastAsia="宋体" w:cs="Times New Roman"/>
          <w:sz w:val="20"/>
          <w:szCs w:val="20"/>
          <w:highlight w:val="none"/>
        </w:rPr>
      </w:pPr>
      <w:r>
        <w:rPr>
          <w:rFonts w:ascii="Times New Roman" w:hAnsi="Times New Roman" w:eastAsia="宋体" w:cs="Times New Roman"/>
          <w:b/>
          <w:bCs/>
          <w:sz w:val="20"/>
          <w:szCs w:val="20"/>
          <w:highlight w:val="none"/>
        </w:rPr>
        <w:br w:type="page"/>
      </w:r>
    </w:p>
    <w:p w14:paraId="62F8F699">
      <w:pPr>
        <w:pStyle w:val="3"/>
        <w:numPr>
          <w:ilvl w:val="0"/>
          <w:numId w:val="2"/>
        </w:numPr>
        <w:spacing w:beforeLines="100" w:afterLines="100" w:line="240" w:lineRule="auto"/>
        <w:ind w:left="0" w:firstLine="0"/>
        <w:rPr>
          <w:rFonts w:ascii="Times New Roman" w:hAnsi="Times New Roman" w:eastAsia="宋体" w:cs="Times New Roman"/>
          <w:highlight w:val="none"/>
        </w:rPr>
      </w:pPr>
      <w:bookmarkStart w:id="0" w:name="_Toc19025317"/>
      <w:r>
        <w:rPr>
          <w:rFonts w:ascii="Times New Roman" w:hAnsi="Times New Roman" w:eastAsia="宋体" w:cs="Times New Roman"/>
          <w:highlight w:val="none"/>
        </w:rPr>
        <w:t>应用环境说明</w:t>
      </w:r>
      <w:bookmarkEnd w:id="0"/>
    </w:p>
    <w:p w14:paraId="25B185F0">
      <w:pPr>
        <w:pStyle w:val="27"/>
        <w:ind w:firstLine="425"/>
        <w:rPr>
          <w:sz w:val="28"/>
          <w:szCs w:val="28"/>
          <w:highlight w:val="none"/>
        </w:rPr>
      </w:pPr>
      <w:r>
        <w:rPr>
          <w:highlight w:val="none"/>
        </w:rPr>
        <w:t>用于环境水质监测、酸/碱/盐溶液、化学反应过程中、工业生产过程中，能够满足大多数工业应用对在线pH测量的要求。</w:t>
      </w:r>
    </w:p>
    <w:p w14:paraId="0E3927C7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信号输出：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RS-485(Modbus RTU)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。</w:t>
      </w:r>
    </w:p>
    <w:p w14:paraId="3BB127D5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方便连接到PLC、DCS、工业控制计算机、通用控制器、无纸记录仪器或触摸屏等第三方设备。</w:t>
      </w:r>
    </w:p>
    <w:p w14:paraId="3B32F90C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双高阻抗差动放大器，抗干扰强，响应速度快。</w:t>
      </w:r>
    </w:p>
    <w:p w14:paraId="2E0BF1E8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专利的pH电极，内部参比液在至少100KPa（1Bar）的压力下，极其缓慢的从微孔盐桥中渗出，其正向渗出持续20个月以上。这样的参比系统非常稳定，电极寿命比普通工业电极成倍延长。</w:t>
      </w:r>
    </w:p>
    <w:p w14:paraId="1B65E1CC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易于安装：</w:t>
      </w:r>
      <w:r>
        <w:rPr>
          <w:rFonts w:ascii="Times New Roman" w:hAnsi="Times New Roman"/>
          <w:bCs/>
          <w:color w:val="000000"/>
          <w:kern w:val="0"/>
          <w:sz w:val="24"/>
          <w:szCs w:val="24"/>
          <w:highlight w:val="none"/>
        </w:rPr>
        <w:t>3/4</w:t>
      </w:r>
      <w:r>
        <w:rPr>
          <w:rFonts w:hint="eastAsia" w:ascii="Times New Roman" w:hAnsi="Times New Roman"/>
          <w:bCs/>
          <w:color w:val="000000"/>
          <w:kern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Cs/>
          <w:color w:val="000000"/>
          <w:kern w:val="0"/>
          <w:sz w:val="24"/>
          <w:szCs w:val="24"/>
          <w:highlight w:val="none"/>
        </w:rPr>
        <w:t>NPT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，便于</w:t>
      </w:r>
      <w:r>
        <w:rPr>
          <w:rFonts w:hint="eastAsia" w:ascii="Times New Roman" w:hAnsi="Times New Roman"/>
          <w:bCs/>
          <w:color w:val="000000"/>
          <w:kern w:val="0"/>
          <w:sz w:val="24"/>
          <w:szCs w:val="24"/>
          <w:highlight w:val="none"/>
          <w:lang w:val="en-US" w:eastAsia="zh-CN"/>
        </w:rPr>
        <w:t>沉入</w:t>
      </w:r>
      <w:r>
        <w:rPr>
          <w:rFonts w:ascii="Times New Roman" w:hAnsi="Times New Roman"/>
          <w:bCs/>
          <w:color w:val="000000"/>
          <w:kern w:val="0"/>
          <w:sz w:val="24"/>
          <w:szCs w:val="24"/>
          <w:highlight w:val="none"/>
        </w:rPr>
        <w:t>式安装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或安装在管道和罐体。</w:t>
      </w:r>
    </w:p>
    <w:p w14:paraId="3AA75FF2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IP68防护等级。</w:t>
      </w:r>
    </w:p>
    <w:p w14:paraId="2C290356">
      <w:pPr>
        <w:pStyle w:val="3"/>
        <w:numPr>
          <w:ilvl w:val="0"/>
          <w:numId w:val="2"/>
        </w:numPr>
        <w:spacing w:beforeLines="100" w:afterLines="100" w:line="240" w:lineRule="auto"/>
        <w:ind w:left="0" w:firstLine="0"/>
        <w:rPr>
          <w:rFonts w:ascii="Times New Roman" w:hAnsi="Times New Roman" w:eastAsia="宋体" w:cs="Times New Roman"/>
          <w:highlight w:val="none"/>
        </w:rPr>
      </w:pPr>
      <w:bookmarkStart w:id="1" w:name="_Toc19025318"/>
      <w:r>
        <w:rPr>
          <w:rFonts w:ascii="Times New Roman" w:hAnsi="Times New Roman" w:eastAsia="宋体" w:cs="Times New Roman"/>
          <w:highlight w:val="none"/>
        </w:rPr>
        <w:t>技术性能和规格</w:t>
      </w:r>
      <w:bookmarkEnd w:id="1"/>
    </w:p>
    <w:p w14:paraId="5ED64429">
      <w:pPr>
        <w:pStyle w:val="4"/>
        <w:numPr>
          <w:ilvl w:val="0"/>
          <w:numId w:val="4"/>
        </w:numPr>
        <w:spacing w:beforeLines="50" w:afterLines="50" w:line="240" w:lineRule="auto"/>
        <w:ind w:left="0" w:firstLine="323"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2" w:name="_Toc19025319"/>
      <w:r>
        <w:rPr>
          <w:rFonts w:ascii="Times New Roman" w:hAnsi="Times New Roman" w:eastAsia="宋体" w:cs="Times New Roman"/>
          <w:sz w:val="28"/>
          <w:szCs w:val="28"/>
          <w:highlight w:val="none"/>
        </w:rPr>
        <w:t>技术参数</w:t>
      </w:r>
      <w:bookmarkEnd w:id="2"/>
    </w:p>
    <w:tbl>
      <w:tblPr>
        <w:tblStyle w:val="13"/>
        <w:tblW w:w="63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260"/>
        <w:gridCol w:w="1954"/>
      </w:tblGrid>
      <w:tr w14:paraId="1BE85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5ACB62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型号</w:t>
            </w:r>
          </w:p>
        </w:tc>
        <w:tc>
          <w:tcPr>
            <w:tcW w:w="4214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89466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PHG-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06</w:t>
            </w:r>
          </w:p>
        </w:tc>
      </w:tr>
      <w:tr w14:paraId="266A6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09A85A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外壳材质</w:t>
            </w:r>
          </w:p>
        </w:tc>
        <w:tc>
          <w:tcPr>
            <w:tcW w:w="4214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509BB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ABS/PC合金</w:t>
            </w:r>
          </w:p>
        </w:tc>
      </w:tr>
      <w:tr w14:paraId="7ACFA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E5184F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测量原理</w:t>
            </w:r>
          </w:p>
        </w:tc>
        <w:tc>
          <w:tcPr>
            <w:tcW w:w="4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A20D6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玻璃电极法</w:t>
            </w:r>
          </w:p>
        </w:tc>
      </w:tr>
      <w:tr w14:paraId="10D44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121E96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量程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与分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辨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率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FF0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0～14.00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065AB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0.01</w:t>
            </w:r>
          </w:p>
        </w:tc>
      </w:tr>
      <w:tr w14:paraId="15730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2AB2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精度</w:t>
            </w:r>
          </w:p>
        </w:tc>
        <w:tc>
          <w:tcPr>
            <w:tcW w:w="4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320D1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±0.1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±0.3℃</w:t>
            </w:r>
          </w:p>
        </w:tc>
      </w:tr>
      <w:tr w14:paraId="1EDC0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FA7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响应时间（T90）</w:t>
            </w:r>
          </w:p>
        </w:tc>
        <w:tc>
          <w:tcPr>
            <w:tcW w:w="4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801B70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s</w:t>
            </w:r>
          </w:p>
        </w:tc>
      </w:tr>
      <w:tr w14:paraId="77F11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DFE6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最低检出限</w:t>
            </w:r>
          </w:p>
        </w:tc>
        <w:tc>
          <w:tcPr>
            <w:tcW w:w="4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1F08C3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0.1</w:t>
            </w:r>
          </w:p>
        </w:tc>
      </w:tr>
      <w:tr w14:paraId="6C3DA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B4C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校准方式</w:t>
            </w:r>
          </w:p>
        </w:tc>
        <w:tc>
          <w:tcPr>
            <w:tcW w:w="4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8EC264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两点校准</w:t>
            </w:r>
          </w:p>
        </w:tc>
      </w:tr>
      <w:tr w14:paraId="39C4A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863FA">
            <w:pPr>
              <w:widowControl/>
              <w:jc w:val="center"/>
              <w:rPr>
                <w:rFonts w:hint="default" w:ascii="Times New Roman" w:hAnsi="Times New Roman" w:eastAsiaTheme="minorEastAsia" w:cstheme="minorBidi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清洁方式</w:t>
            </w:r>
          </w:p>
        </w:tc>
        <w:tc>
          <w:tcPr>
            <w:tcW w:w="4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E170D91">
            <w:pPr>
              <w:widowControl/>
              <w:jc w:val="center"/>
              <w:rPr>
                <w:rFonts w:hint="default" w:ascii="Times New Roman" w:hAnsi="Times New Roman" w:eastAsiaTheme="minorEastAsia" w:cstheme="minorBidi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08634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C8A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温度补偿</w:t>
            </w:r>
          </w:p>
        </w:tc>
        <w:tc>
          <w:tcPr>
            <w:tcW w:w="4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868E77E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自动温度补偿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Pt1000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)</w:t>
            </w:r>
          </w:p>
        </w:tc>
      </w:tr>
      <w:tr w14:paraId="4081F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70CD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输出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4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76556BB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RS-485(Modbus RTU)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、4-20mA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可选配</w:t>
            </w:r>
          </w:p>
        </w:tc>
      </w:tr>
      <w:tr w14:paraId="37B78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CA9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存储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温度</w:t>
            </w:r>
          </w:p>
        </w:tc>
        <w:tc>
          <w:tcPr>
            <w:tcW w:w="4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70E1C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-5～65℃</w:t>
            </w:r>
          </w:p>
        </w:tc>
      </w:tr>
      <w:tr w14:paraId="12359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EFD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条件</w:t>
            </w:r>
          </w:p>
        </w:tc>
        <w:tc>
          <w:tcPr>
            <w:tcW w:w="4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CA5D7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0～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0℃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≤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0.2MPa</w:t>
            </w:r>
          </w:p>
        </w:tc>
      </w:tr>
      <w:tr w14:paraId="7EEC5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6637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安装方式</w:t>
            </w:r>
          </w:p>
        </w:tc>
        <w:tc>
          <w:tcPr>
            <w:tcW w:w="4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944EFE6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沉入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式安装，3/4 NPT </w:t>
            </w:r>
          </w:p>
        </w:tc>
      </w:tr>
      <w:tr w14:paraId="76947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C2B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功耗</w:t>
            </w:r>
          </w:p>
        </w:tc>
        <w:tc>
          <w:tcPr>
            <w:tcW w:w="4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0909FF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0.2W@12V</w:t>
            </w:r>
          </w:p>
        </w:tc>
      </w:tr>
      <w:tr w14:paraId="2AE81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F01F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供电</w:t>
            </w:r>
          </w:p>
        </w:tc>
        <w:tc>
          <w:tcPr>
            <w:tcW w:w="4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E102088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12～24V DC</w:t>
            </w:r>
          </w:p>
        </w:tc>
      </w:tr>
      <w:tr w14:paraId="7F7AD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3F2E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防护等级</w:t>
            </w:r>
          </w:p>
        </w:tc>
        <w:tc>
          <w:tcPr>
            <w:tcW w:w="4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7FBA19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IP68</w:t>
            </w:r>
          </w:p>
        </w:tc>
      </w:tr>
      <w:tr w14:paraId="78028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4A9C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线缆长度</w:t>
            </w:r>
          </w:p>
        </w:tc>
        <w:tc>
          <w:tcPr>
            <w:tcW w:w="4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04ACED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5米，其它长度可定制</w:t>
            </w:r>
          </w:p>
        </w:tc>
      </w:tr>
    </w:tbl>
    <w:p w14:paraId="3FD859C9">
      <w:pPr>
        <w:rPr>
          <w:rFonts w:ascii="Times New Roman" w:hAnsi="Times New Roman" w:eastAsia="宋体" w:cs="Times New Roman"/>
          <w:highlight w:val="none"/>
        </w:rPr>
      </w:pPr>
    </w:p>
    <w:p w14:paraId="61202AA9">
      <w:pPr>
        <w:rPr>
          <w:rFonts w:ascii="Times New Roman" w:hAnsi="Times New Roman" w:eastAsia="宋体" w:cs="Times New Roman"/>
          <w:highlight w:val="none"/>
        </w:rPr>
      </w:pPr>
    </w:p>
    <w:p w14:paraId="318381D6">
      <w:pPr>
        <w:pStyle w:val="4"/>
        <w:numPr>
          <w:ilvl w:val="0"/>
          <w:numId w:val="4"/>
        </w:numPr>
        <w:spacing w:beforeLines="50" w:after="0" w:line="240" w:lineRule="auto"/>
        <w:ind w:left="0" w:firstLine="323"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3" w:name="_Toc19025320"/>
      <w:r>
        <w:rPr>
          <w:rFonts w:ascii="Times New Roman" w:hAnsi="Times New Roman" w:eastAsia="宋体" w:cs="Times New Roman"/>
          <w:sz w:val="28"/>
          <w:szCs w:val="28"/>
          <w:highlight w:val="none"/>
        </w:rPr>
        <w:t>尺寸图</w:t>
      </w:r>
      <w:bookmarkEnd w:id="3"/>
    </w:p>
    <w:p w14:paraId="2D09E5DA">
      <w:pPr>
        <w:widowControl/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drawing>
          <wp:inline distT="0" distB="0" distL="0" distR="0">
            <wp:extent cx="5685790" cy="219773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291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FEA8B">
      <w:pPr>
        <w:widowControl/>
        <w:ind w:firstLine="840" w:firstLineChars="350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highlight w:val="none"/>
        </w:rPr>
        <w:t>注：传感器接头为M16-5芯防水接头公头</w:t>
      </w:r>
    </w:p>
    <w:p w14:paraId="387CC9B8">
      <w:pPr>
        <w:pStyle w:val="3"/>
        <w:numPr>
          <w:ilvl w:val="0"/>
          <w:numId w:val="2"/>
        </w:numPr>
        <w:spacing w:beforeLines="100" w:afterLines="5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bookmarkStart w:id="4" w:name="_Toc494117813"/>
      <w:bookmarkStart w:id="5" w:name="_Toc19025321"/>
      <w:r>
        <w:rPr>
          <w:rFonts w:ascii="Times New Roman" w:hAnsi="Times New Roman" w:eastAsia="宋体" w:cs="Times New Roman"/>
          <w:highlight w:val="none"/>
        </w:rPr>
        <w:t>安装</w:t>
      </w:r>
      <w:bookmarkEnd w:id="4"/>
      <w:r>
        <w:rPr>
          <w:rFonts w:ascii="Times New Roman" w:hAnsi="Times New Roman" w:eastAsia="宋体" w:cs="Times New Roman"/>
          <w:highlight w:val="none"/>
        </w:rPr>
        <w:t>和电气连接</w:t>
      </w:r>
      <w:bookmarkEnd w:id="5"/>
    </w:p>
    <w:p w14:paraId="6543943B">
      <w:pPr>
        <w:pStyle w:val="4"/>
        <w:numPr>
          <w:ilvl w:val="0"/>
          <w:numId w:val="5"/>
        </w:numPr>
        <w:spacing w:beforeLines="50" w:afterLines="50" w:line="240" w:lineRule="auto"/>
        <w:ind w:left="0" w:firstLine="323"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6" w:name="_Toc494117814"/>
      <w:r>
        <w:rPr>
          <w:rFonts w:ascii="Times New Roman" w:hAnsi="Times New Roman" w:eastAsia="宋体" w:cs="Times New Roman"/>
          <w:sz w:val="28"/>
          <w:szCs w:val="28"/>
          <w:highlight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521970</wp:posOffset>
            </wp:positionV>
            <wp:extent cx="5610225" cy="2465070"/>
            <wp:effectExtent l="19050" t="0" r="9525" b="0"/>
            <wp:wrapSquare wrapText="right"/>
            <wp:docPr id="18" name="Picture 192" descr="PH电极常用安装方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92" descr="PH电极常用安装方法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46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7" w:name="_Toc19025322"/>
      <w:r>
        <w:rPr>
          <w:rFonts w:ascii="Times New Roman" w:hAnsi="Times New Roman" w:eastAsia="宋体" w:cs="Times New Roman"/>
          <w:sz w:val="28"/>
          <w:szCs w:val="28"/>
          <w:highlight w:val="none"/>
        </w:rPr>
        <w:t>安装</w:t>
      </w:r>
      <w:bookmarkEnd w:id="6"/>
      <w:bookmarkEnd w:id="7"/>
    </w:p>
    <w:p w14:paraId="2E48B169">
      <w:pPr>
        <w:pStyle w:val="27"/>
        <w:ind w:left="420" w:right="280"/>
        <w:rPr>
          <w:color w:val="auto"/>
          <w:highlight w:val="none"/>
        </w:rPr>
      </w:pPr>
    </w:p>
    <w:p w14:paraId="5ECB7C43">
      <w:pPr>
        <w:pStyle w:val="27"/>
        <w:ind w:left="420" w:right="280"/>
        <w:rPr>
          <w:color w:val="auto"/>
          <w:highlight w:val="none"/>
        </w:rPr>
      </w:pPr>
    </w:p>
    <w:p w14:paraId="18C8C77A">
      <w:pPr>
        <w:pStyle w:val="27"/>
        <w:ind w:left="420" w:right="280"/>
        <w:rPr>
          <w:color w:val="auto"/>
          <w:highlight w:val="none"/>
        </w:rPr>
      </w:pPr>
    </w:p>
    <w:p w14:paraId="2E245CEC">
      <w:pPr>
        <w:pStyle w:val="27"/>
        <w:ind w:left="420" w:right="280"/>
        <w:rPr>
          <w:color w:val="auto"/>
          <w:highlight w:val="none"/>
        </w:rPr>
      </w:pPr>
    </w:p>
    <w:p w14:paraId="716B4A06">
      <w:pPr>
        <w:pStyle w:val="27"/>
        <w:ind w:left="420" w:right="280"/>
        <w:rPr>
          <w:color w:val="auto"/>
          <w:highlight w:val="none"/>
        </w:rPr>
      </w:pPr>
    </w:p>
    <w:p w14:paraId="3303ADCE">
      <w:pPr>
        <w:pStyle w:val="27"/>
        <w:ind w:left="420" w:right="280"/>
        <w:rPr>
          <w:color w:val="auto"/>
          <w:highlight w:val="none"/>
        </w:rPr>
      </w:pPr>
    </w:p>
    <w:p w14:paraId="751099A2">
      <w:pPr>
        <w:pStyle w:val="27"/>
        <w:ind w:left="420" w:right="280"/>
        <w:rPr>
          <w:color w:val="auto"/>
          <w:highlight w:val="none"/>
        </w:rPr>
      </w:pPr>
    </w:p>
    <w:p w14:paraId="6A7C21E2">
      <w:pPr>
        <w:pStyle w:val="27"/>
        <w:ind w:left="420" w:right="280"/>
        <w:rPr>
          <w:color w:val="auto"/>
          <w:highlight w:val="none"/>
        </w:rPr>
      </w:pPr>
    </w:p>
    <w:p w14:paraId="5540E5EB">
      <w:pPr>
        <w:pStyle w:val="27"/>
        <w:ind w:left="420" w:right="280"/>
        <w:rPr>
          <w:color w:val="auto"/>
          <w:highlight w:val="none"/>
        </w:rPr>
      </w:pPr>
    </w:p>
    <w:p w14:paraId="39BFE4BC">
      <w:pPr>
        <w:pStyle w:val="27"/>
        <w:ind w:left="420" w:right="280"/>
        <w:rPr>
          <w:color w:val="auto"/>
          <w:highlight w:val="none"/>
        </w:rPr>
      </w:pPr>
    </w:p>
    <w:p w14:paraId="5640E90C">
      <w:pPr>
        <w:pStyle w:val="27"/>
        <w:ind w:left="420" w:right="280"/>
        <w:rPr>
          <w:color w:val="auto"/>
          <w:highlight w:val="none"/>
        </w:rPr>
      </w:pPr>
    </w:p>
    <w:p w14:paraId="68D6CCC9">
      <w:pPr>
        <w:pStyle w:val="27"/>
        <w:ind w:left="420" w:right="280"/>
        <w:rPr>
          <w:color w:val="auto"/>
          <w:highlight w:val="none"/>
        </w:rPr>
      </w:pPr>
    </w:p>
    <w:p w14:paraId="18F7F282">
      <w:pPr>
        <w:pStyle w:val="27"/>
        <w:ind w:left="420" w:right="280"/>
        <w:rPr>
          <w:color w:val="auto"/>
          <w:highlight w:val="none"/>
        </w:rPr>
      </w:pPr>
    </w:p>
    <w:p w14:paraId="7E6957FD">
      <w:pPr>
        <w:pStyle w:val="27"/>
        <w:ind w:left="420" w:right="280"/>
        <w:rPr>
          <w:color w:val="FF0000"/>
          <w:highlight w:val="none"/>
        </w:rPr>
      </w:pPr>
      <w:r>
        <w:rPr>
          <w:color w:val="auto"/>
          <w:highlight w:val="none"/>
        </w:rPr>
        <w:t>注意：传感器安装时不能倒置或水平安装，至少倾斜15度角以上安装。</w:t>
      </w:r>
    </w:p>
    <w:p w14:paraId="5A2EF483">
      <w:pPr>
        <w:pStyle w:val="4"/>
        <w:numPr>
          <w:ilvl w:val="0"/>
          <w:numId w:val="5"/>
        </w:numPr>
        <w:spacing w:beforeLines="50" w:afterLines="50" w:line="240" w:lineRule="auto"/>
        <w:ind w:left="0" w:firstLine="323"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8" w:name="_Toc19025323"/>
      <w:r>
        <w:rPr>
          <w:rFonts w:ascii="Times New Roman" w:hAnsi="Times New Roman" w:eastAsia="宋体" w:cs="Times New Roman"/>
          <w:sz w:val="28"/>
          <w:szCs w:val="28"/>
          <w:highlight w:val="none"/>
        </w:rPr>
        <w:t>电气连接</w:t>
      </w:r>
      <w:bookmarkEnd w:id="8"/>
    </w:p>
    <w:p w14:paraId="22034524">
      <w:pPr>
        <w:ind w:firstLine="484" w:firstLineChars="202"/>
        <w:rPr>
          <w:rFonts w:ascii="Times New Roman" w:hAnsi="Times New Roman" w:eastAsia="宋体" w:cs="Times New Roman"/>
          <w:sz w:val="24"/>
          <w:highlight w:val="none"/>
        </w:rPr>
      </w:pPr>
      <w:bookmarkStart w:id="9" w:name="幻灯片编号_8"/>
      <w:bookmarkEnd w:id="9"/>
      <w:bookmarkStart w:id="10" w:name="幻灯片编号_7"/>
      <w:bookmarkEnd w:id="10"/>
      <w:bookmarkStart w:id="11" w:name="_Toc494117817"/>
      <w:r>
        <w:rPr>
          <w:rFonts w:ascii="Times New Roman" w:hAnsi="Times New Roman" w:eastAsia="宋体" w:cs="Times New Roman"/>
          <w:sz w:val="24"/>
          <w:highlight w:val="none"/>
        </w:rPr>
        <w:t>线缆为4芯双绞屏蔽线，线序定义：</w:t>
      </w:r>
    </w:p>
    <w:p w14:paraId="66ADF92D">
      <w:pPr>
        <w:pStyle w:val="24"/>
        <w:numPr>
          <w:ilvl w:val="0"/>
          <w:numId w:val="6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红色线—电源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正极</w:t>
      </w:r>
      <w:r>
        <w:rPr>
          <w:rFonts w:ascii="Times New Roman" w:hAnsi="Times New Roman"/>
          <w:sz w:val="24"/>
          <w:highlight w:val="none"/>
        </w:rPr>
        <w:t>（12～24VDC）</w:t>
      </w:r>
    </w:p>
    <w:p w14:paraId="1C917504">
      <w:pPr>
        <w:pStyle w:val="24"/>
        <w:numPr>
          <w:ilvl w:val="0"/>
          <w:numId w:val="6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黑色线—地线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负极</w:t>
      </w:r>
      <w:r>
        <w:rPr>
          <w:rFonts w:ascii="Times New Roman" w:hAnsi="Times New Roman"/>
          <w:sz w:val="24"/>
          <w:highlight w:val="none"/>
        </w:rPr>
        <w:t>（GND）</w:t>
      </w:r>
    </w:p>
    <w:p w14:paraId="05CA8F4D">
      <w:pPr>
        <w:pStyle w:val="24"/>
        <w:numPr>
          <w:ilvl w:val="0"/>
          <w:numId w:val="6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蓝色线—485A</w:t>
      </w:r>
    </w:p>
    <w:p w14:paraId="33F5CD10">
      <w:pPr>
        <w:pStyle w:val="24"/>
        <w:numPr>
          <w:ilvl w:val="0"/>
          <w:numId w:val="6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白色线—485B</w:t>
      </w:r>
    </w:p>
    <w:p w14:paraId="1CFFC3F7">
      <w:pPr>
        <w:pStyle w:val="24"/>
        <w:numPr>
          <w:ilvl w:val="0"/>
          <w:numId w:val="6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黄色线—电流输出（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选配电流输出为5芯屏蔽线</w:t>
      </w:r>
      <w:r>
        <w:rPr>
          <w:rFonts w:ascii="Times New Roman" w:hAnsi="Times New Roman"/>
          <w:sz w:val="24"/>
          <w:highlight w:val="none"/>
        </w:rPr>
        <w:t>）</w:t>
      </w:r>
    </w:p>
    <w:p w14:paraId="7B378F3F">
      <w:pPr>
        <w:pStyle w:val="24"/>
        <w:spacing w:beforeLines="50"/>
        <w:ind w:firstLineChars="0"/>
        <w:rPr>
          <w:rFonts w:ascii="Times New Roman" w:hAnsi="Times New Roman"/>
          <w:sz w:val="24"/>
          <w:highlight w:val="none"/>
        </w:rPr>
      </w:pPr>
      <w:bookmarkStart w:id="12" w:name="_Toc494377400"/>
      <w:bookmarkStart w:id="13" w:name="_Toc496261164"/>
      <w:r>
        <w:rPr>
          <w:rFonts w:ascii="Times New Roman" w:hAnsi="Times New Roman"/>
          <w:sz w:val="24"/>
          <w:highlight w:val="none"/>
        </w:rPr>
        <w:t>通电前应仔细检查接线顺序，避免因接线错误而造成不必要的损失。</w:t>
      </w:r>
    </w:p>
    <w:p w14:paraId="1103F081">
      <w:pPr>
        <w:pStyle w:val="24"/>
        <w:spacing w:beforeLines="50"/>
        <w:ind w:left="323" w:firstLine="97" w:firstLineChars="0"/>
        <w:rPr>
          <w:rFonts w:ascii="Times New Roman" w:hAnsi="Times New Roman"/>
          <w:b/>
          <w:sz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  <w:t>接线说明：</w:t>
      </w:r>
      <w:r>
        <w:rPr>
          <w:rFonts w:ascii="Times New Roman" w:hAnsi="Times New Roman"/>
          <w:sz w:val="24"/>
          <w:highlight w:val="none"/>
        </w:rPr>
        <w:t>考虑到线缆长期浸泡在水中（包括海水）或暴露在空气中，所有接线处均要求做防水处理，用户线缆应具有一定的防腐蚀能力。</w:t>
      </w:r>
      <w:bookmarkEnd w:id="12"/>
      <w:bookmarkEnd w:id="13"/>
    </w:p>
    <w:p w14:paraId="1ADC6997">
      <w:pPr>
        <w:pStyle w:val="3"/>
        <w:numPr>
          <w:ilvl w:val="0"/>
          <w:numId w:val="2"/>
        </w:numPr>
        <w:spacing w:beforeLines="100" w:afterLines="5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bookmarkStart w:id="14" w:name="_Toc19025324"/>
      <w:r>
        <w:rPr>
          <w:rFonts w:ascii="Times New Roman" w:hAnsi="Times New Roman" w:eastAsia="宋体" w:cs="Times New Roman"/>
          <w:highlight w:val="none"/>
        </w:rPr>
        <w:t>维护和保养</w:t>
      </w:r>
      <w:bookmarkEnd w:id="11"/>
      <w:bookmarkEnd w:id="14"/>
    </w:p>
    <w:p w14:paraId="6B8F1FF0">
      <w:pPr>
        <w:pStyle w:val="4"/>
        <w:numPr>
          <w:ilvl w:val="0"/>
          <w:numId w:val="7"/>
        </w:numPr>
        <w:spacing w:beforeLines="50" w:afterLines="50" w:line="240" w:lineRule="auto"/>
        <w:ind w:left="210" w:leftChars="100"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15" w:name="_Toc19025325"/>
      <w:r>
        <w:rPr>
          <w:rFonts w:ascii="Times New Roman" w:hAnsi="Times New Roman" w:eastAsia="宋体" w:cs="Times New Roman"/>
          <w:sz w:val="28"/>
          <w:szCs w:val="28"/>
          <w:highlight w:val="none"/>
        </w:rPr>
        <w:t>使用和保养</w:t>
      </w:r>
      <w:bookmarkEnd w:id="15"/>
    </w:p>
    <w:p w14:paraId="2730CDC7">
      <w:pPr>
        <w:widowControl/>
        <w:ind w:left="210" w:leftChars="100"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pH传感器在测量时，应先在蒸馏水（或去离子水）中清洗干净，并用滤纸吸干水分，防止杂质带进被测液中，传感器的1/3应插入被测溶液中。</w:t>
      </w:r>
    </w:p>
    <w:p w14:paraId="023CCF9E">
      <w:pPr>
        <w:widowControl/>
        <w:ind w:left="210" w:leftChars="1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传感器不用时应洗净，插入加有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mol/L氯化钾溶液的保护套，或将传感器插进加有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mol/L氯化钾溶液的容器中。</w:t>
      </w:r>
    </w:p>
    <w:p w14:paraId="2CFAFF73">
      <w:pPr>
        <w:widowControl/>
        <w:ind w:left="210" w:leftChars="100" w:firstLine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检查接线端子处是否干燥，如有沾污，请用无水酒精擦拭，吹干后使用。应避免长期浸泡在蒸馏水或蛋白质溶液中，并防止与有机硅油脂接触。使用时间较长的传感器，它的玻璃膜可能变成半透明或附有沉积物，此时可用稀盐酸洗涤，并用水冲洗。传感器使用时间较长，出现测量误差时，须配合仪表进行标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进行校正。</w:t>
      </w:r>
    </w:p>
    <w:p w14:paraId="3E1629C4">
      <w:pPr>
        <w:widowControl/>
        <w:ind w:left="210" w:leftChars="100" w:firstLine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当用以上方式对传感器进行维护和保养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  <w:t>时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仍不能进行标定和测量时，说明传感器已经失效，请更换传感器。</w:t>
      </w:r>
    </w:p>
    <w:p w14:paraId="0E9200CD">
      <w:pPr>
        <w:jc w:val="center"/>
        <w:rPr>
          <w:rFonts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sz w:val="24"/>
          <w:szCs w:val="24"/>
          <w:highlight w:val="none"/>
        </w:rPr>
        <w:t>标准缓冲液pH 值对照参考表</w:t>
      </w:r>
    </w:p>
    <w:p w14:paraId="4F5A197D">
      <w:pPr>
        <w:jc w:val="center"/>
        <w:rPr>
          <w:rFonts w:ascii="Times New Roman" w:hAnsi="Times New Roman" w:eastAsia="宋体" w:cs="Times New Roman"/>
          <w:b/>
          <w:sz w:val="24"/>
          <w:szCs w:val="24"/>
          <w:highlight w:val="none"/>
        </w:rPr>
      </w:pPr>
    </w:p>
    <w:tbl>
      <w:tblPr>
        <w:tblStyle w:val="13"/>
        <w:tblW w:w="8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266"/>
        <w:gridCol w:w="1179"/>
        <w:gridCol w:w="1110"/>
        <w:gridCol w:w="1155"/>
        <w:gridCol w:w="1110"/>
        <w:gridCol w:w="1215"/>
      </w:tblGrid>
      <w:tr w14:paraId="71A6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55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67304038">
            <w:pPr>
              <w:pStyle w:val="7"/>
              <w:spacing w:line="28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Temp(</w:t>
            </w:r>
            <w:r>
              <w:rPr>
                <w:sz w:val="24"/>
                <w:szCs w:val="22"/>
                <w:highlight w:val="none"/>
              </w:rPr>
              <w:t>℃</w:t>
            </w:r>
            <w:r>
              <w:rPr>
                <w:sz w:val="24"/>
                <w:szCs w:val="24"/>
                <w:highlight w:val="none"/>
              </w:rPr>
              <w:t>)</w:t>
            </w:r>
          </w:p>
        </w:tc>
        <w:tc>
          <w:tcPr>
            <w:tcW w:w="1266" w:type="dxa"/>
            <w:tcBorders>
              <w:top w:val="single" w:color="auto" w:sz="6" w:space="0"/>
            </w:tcBorders>
            <w:vAlign w:val="center"/>
          </w:tcPr>
          <w:p w14:paraId="5A12264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4.00</w:t>
            </w:r>
          </w:p>
        </w:tc>
        <w:tc>
          <w:tcPr>
            <w:tcW w:w="1179" w:type="dxa"/>
            <w:tcBorders>
              <w:top w:val="single" w:color="auto" w:sz="6" w:space="0"/>
            </w:tcBorders>
            <w:vAlign w:val="center"/>
          </w:tcPr>
          <w:p w14:paraId="286C3C1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4.01</w:t>
            </w:r>
          </w:p>
        </w:tc>
        <w:tc>
          <w:tcPr>
            <w:tcW w:w="1110" w:type="dxa"/>
            <w:tcBorders>
              <w:top w:val="single" w:color="auto" w:sz="6" w:space="0"/>
            </w:tcBorders>
            <w:vAlign w:val="center"/>
          </w:tcPr>
          <w:p w14:paraId="6625A11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6.86</w:t>
            </w:r>
          </w:p>
        </w:tc>
        <w:tc>
          <w:tcPr>
            <w:tcW w:w="1155" w:type="dxa"/>
            <w:tcBorders>
              <w:top w:val="single" w:color="auto" w:sz="6" w:space="0"/>
            </w:tcBorders>
            <w:vAlign w:val="center"/>
          </w:tcPr>
          <w:p w14:paraId="4EC849C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7.00</w:t>
            </w:r>
          </w:p>
        </w:tc>
        <w:tc>
          <w:tcPr>
            <w:tcW w:w="1110" w:type="dxa"/>
            <w:tcBorders>
              <w:top w:val="single" w:color="auto" w:sz="6" w:space="0"/>
            </w:tcBorders>
            <w:vAlign w:val="center"/>
          </w:tcPr>
          <w:p w14:paraId="0FA6001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9.18</w:t>
            </w:r>
          </w:p>
        </w:tc>
        <w:tc>
          <w:tcPr>
            <w:tcW w:w="1215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57277E7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10.01</w:t>
            </w:r>
          </w:p>
        </w:tc>
      </w:tr>
      <w:tr w14:paraId="458B4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 w14:paraId="54F49C3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0</w:t>
            </w:r>
          </w:p>
        </w:tc>
        <w:tc>
          <w:tcPr>
            <w:tcW w:w="1266" w:type="dxa"/>
            <w:vAlign w:val="center"/>
          </w:tcPr>
          <w:p w14:paraId="1758C86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4.00</w:t>
            </w:r>
          </w:p>
        </w:tc>
        <w:tc>
          <w:tcPr>
            <w:tcW w:w="1179" w:type="dxa"/>
            <w:vAlign w:val="center"/>
          </w:tcPr>
          <w:p w14:paraId="4018C49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4.00</w:t>
            </w:r>
          </w:p>
        </w:tc>
        <w:tc>
          <w:tcPr>
            <w:tcW w:w="1110" w:type="dxa"/>
            <w:vAlign w:val="center"/>
          </w:tcPr>
          <w:p w14:paraId="0BE9366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6.98</w:t>
            </w:r>
          </w:p>
        </w:tc>
        <w:tc>
          <w:tcPr>
            <w:tcW w:w="1155" w:type="dxa"/>
            <w:vAlign w:val="center"/>
          </w:tcPr>
          <w:p w14:paraId="17E8B64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7.12</w:t>
            </w:r>
          </w:p>
        </w:tc>
        <w:tc>
          <w:tcPr>
            <w:tcW w:w="1110" w:type="dxa"/>
            <w:vAlign w:val="center"/>
          </w:tcPr>
          <w:p w14:paraId="6CD0A90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9.46</w:t>
            </w:r>
          </w:p>
        </w:tc>
        <w:tc>
          <w:tcPr>
            <w:tcW w:w="1215" w:type="dxa"/>
            <w:tcBorders>
              <w:right w:val="single" w:color="auto" w:sz="6" w:space="0"/>
            </w:tcBorders>
            <w:vAlign w:val="center"/>
          </w:tcPr>
          <w:p w14:paraId="274EB5B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10.32</w:t>
            </w:r>
          </w:p>
        </w:tc>
      </w:tr>
      <w:tr w14:paraId="7938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 w14:paraId="4E37A0D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5</w:t>
            </w:r>
          </w:p>
        </w:tc>
        <w:tc>
          <w:tcPr>
            <w:tcW w:w="1266" w:type="dxa"/>
            <w:vAlign w:val="center"/>
          </w:tcPr>
          <w:p w14:paraId="4630150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4.00</w:t>
            </w:r>
          </w:p>
        </w:tc>
        <w:tc>
          <w:tcPr>
            <w:tcW w:w="1179" w:type="dxa"/>
            <w:vAlign w:val="center"/>
          </w:tcPr>
          <w:p w14:paraId="5D7DDD3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4.00</w:t>
            </w:r>
          </w:p>
        </w:tc>
        <w:tc>
          <w:tcPr>
            <w:tcW w:w="1110" w:type="dxa"/>
            <w:vAlign w:val="center"/>
          </w:tcPr>
          <w:p w14:paraId="27DD1A4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6.95</w:t>
            </w:r>
          </w:p>
        </w:tc>
        <w:tc>
          <w:tcPr>
            <w:tcW w:w="1155" w:type="dxa"/>
            <w:vAlign w:val="center"/>
          </w:tcPr>
          <w:p w14:paraId="4BD7A83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7.09</w:t>
            </w:r>
          </w:p>
        </w:tc>
        <w:tc>
          <w:tcPr>
            <w:tcW w:w="1110" w:type="dxa"/>
            <w:vAlign w:val="center"/>
          </w:tcPr>
          <w:p w14:paraId="35F26C8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9.39</w:t>
            </w:r>
          </w:p>
        </w:tc>
        <w:tc>
          <w:tcPr>
            <w:tcW w:w="1215" w:type="dxa"/>
            <w:tcBorders>
              <w:right w:val="single" w:color="auto" w:sz="6" w:space="0"/>
            </w:tcBorders>
            <w:vAlign w:val="center"/>
          </w:tcPr>
          <w:p w14:paraId="3F3C17A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10.25</w:t>
            </w:r>
          </w:p>
        </w:tc>
      </w:tr>
      <w:tr w14:paraId="0AA6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 w14:paraId="0400F44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10</w:t>
            </w:r>
          </w:p>
        </w:tc>
        <w:tc>
          <w:tcPr>
            <w:tcW w:w="1266" w:type="dxa"/>
            <w:vAlign w:val="center"/>
          </w:tcPr>
          <w:p w14:paraId="1E801F2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4.00</w:t>
            </w:r>
          </w:p>
        </w:tc>
        <w:tc>
          <w:tcPr>
            <w:tcW w:w="1179" w:type="dxa"/>
            <w:vAlign w:val="center"/>
          </w:tcPr>
          <w:p w14:paraId="22DD50B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4.00</w:t>
            </w:r>
          </w:p>
        </w:tc>
        <w:tc>
          <w:tcPr>
            <w:tcW w:w="1110" w:type="dxa"/>
            <w:vAlign w:val="center"/>
          </w:tcPr>
          <w:p w14:paraId="61B47B8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6.92</w:t>
            </w:r>
          </w:p>
        </w:tc>
        <w:tc>
          <w:tcPr>
            <w:tcW w:w="1155" w:type="dxa"/>
            <w:vAlign w:val="center"/>
          </w:tcPr>
          <w:p w14:paraId="2D8DA64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7.06</w:t>
            </w:r>
          </w:p>
        </w:tc>
        <w:tc>
          <w:tcPr>
            <w:tcW w:w="1110" w:type="dxa"/>
            <w:vAlign w:val="center"/>
          </w:tcPr>
          <w:p w14:paraId="1B19CDE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9.33</w:t>
            </w:r>
          </w:p>
        </w:tc>
        <w:tc>
          <w:tcPr>
            <w:tcW w:w="1215" w:type="dxa"/>
            <w:tcBorders>
              <w:right w:val="single" w:color="auto" w:sz="6" w:space="0"/>
            </w:tcBorders>
            <w:vAlign w:val="center"/>
          </w:tcPr>
          <w:p w14:paraId="47C6E7F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10.18</w:t>
            </w:r>
          </w:p>
        </w:tc>
      </w:tr>
      <w:tr w14:paraId="33E6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 w14:paraId="470918C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15</w:t>
            </w:r>
          </w:p>
        </w:tc>
        <w:tc>
          <w:tcPr>
            <w:tcW w:w="1266" w:type="dxa"/>
            <w:vAlign w:val="center"/>
          </w:tcPr>
          <w:p w14:paraId="711567F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4.00</w:t>
            </w:r>
          </w:p>
        </w:tc>
        <w:tc>
          <w:tcPr>
            <w:tcW w:w="1179" w:type="dxa"/>
            <w:vAlign w:val="center"/>
          </w:tcPr>
          <w:p w14:paraId="3FA1E3B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4.00</w:t>
            </w:r>
          </w:p>
        </w:tc>
        <w:tc>
          <w:tcPr>
            <w:tcW w:w="1110" w:type="dxa"/>
            <w:vAlign w:val="center"/>
          </w:tcPr>
          <w:p w14:paraId="4661D26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6.90</w:t>
            </w:r>
          </w:p>
        </w:tc>
        <w:tc>
          <w:tcPr>
            <w:tcW w:w="1155" w:type="dxa"/>
            <w:vAlign w:val="center"/>
          </w:tcPr>
          <w:p w14:paraId="232F8BE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7.04</w:t>
            </w:r>
          </w:p>
        </w:tc>
        <w:tc>
          <w:tcPr>
            <w:tcW w:w="1110" w:type="dxa"/>
            <w:vAlign w:val="center"/>
          </w:tcPr>
          <w:p w14:paraId="5560DD8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9.28</w:t>
            </w:r>
          </w:p>
        </w:tc>
        <w:tc>
          <w:tcPr>
            <w:tcW w:w="1215" w:type="dxa"/>
            <w:tcBorders>
              <w:right w:val="single" w:color="auto" w:sz="6" w:space="0"/>
            </w:tcBorders>
            <w:vAlign w:val="center"/>
          </w:tcPr>
          <w:p w14:paraId="26977A2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10.12</w:t>
            </w:r>
          </w:p>
        </w:tc>
      </w:tr>
      <w:tr w14:paraId="3AD8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 w14:paraId="47B48A6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20</w:t>
            </w:r>
          </w:p>
        </w:tc>
        <w:tc>
          <w:tcPr>
            <w:tcW w:w="1266" w:type="dxa"/>
            <w:vAlign w:val="center"/>
          </w:tcPr>
          <w:p w14:paraId="553940E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4.00</w:t>
            </w:r>
          </w:p>
        </w:tc>
        <w:tc>
          <w:tcPr>
            <w:tcW w:w="1179" w:type="dxa"/>
            <w:vAlign w:val="center"/>
          </w:tcPr>
          <w:p w14:paraId="7F6A620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4.00</w:t>
            </w:r>
          </w:p>
        </w:tc>
        <w:tc>
          <w:tcPr>
            <w:tcW w:w="1110" w:type="dxa"/>
            <w:vAlign w:val="center"/>
          </w:tcPr>
          <w:p w14:paraId="3E5EA8B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6.88</w:t>
            </w:r>
          </w:p>
        </w:tc>
        <w:tc>
          <w:tcPr>
            <w:tcW w:w="1155" w:type="dxa"/>
            <w:vAlign w:val="center"/>
          </w:tcPr>
          <w:p w14:paraId="1C5DE89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7.02</w:t>
            </w:r>
          </w:p>
        </w:tc>
        <w:tc>
          <w:tcPr>
            <w:tcW w:w="1110" w:type="dxa"/>
            <w:vAlign w:val="center"/>
          </w:tcPr>
          <w:p w14:paraId="28571F1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9.23</w:t>
            </w:r>
          </w:p>
        </w:tc>
        <w:tc>
          <w:tcPr>
            <w:tcW w:w="1215" w:type="dxa"/>
            <w:tcBorders>
              <w:right w:val="single" w:color="auto" w:sz="6" w:space="0"/>
            </w:tcBorders>
            <w:vAlign w:val="center"/>
          </w:tcPr>
          <w:p w14:paraId="345EDC4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10.06</w:t>
            </w:r>
          </w:p>
        </w:tc>
      </w:tr>
      <w:tr w14:paraId="7185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 w14:paraId="65AF036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25</w:t>
            </w:r>
          </w:p>
        </w:tc>
        <w:tc>
          <w:tcPr>
            <w:tcW w:w="1266" w:type="dxa"/>
            <w:vAlign w:val="center"/>
          </w:tcPr>
          <w:p w14:paraId="48A58C6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4.00</w:t>
            </w:r>
          </w:p>
        </w:tc>
        <w:tc>
          <w:tcPr>
            <w:tcW w:w="1179" w:type="dxa"/>
            <w:vAlign w:val="center"/>
          </w:tcPr>
          <w:p w14:paraId="5E49F69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4.01</w:t>
            </w:r>
          </w:p>
        </w:tc>
        <w:tc>
          <w:tcPr>
            <w:tcW w:w="1110" w:type="dxa"/>
            <w:vAlign w:val="center"/>
          </w:tcPr>
          <w:p w14:paraId="2057265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6.86</w:t>
            </w:r>
          </w:p>
        </w:tc>
        <w:tc>
          <w:tcPr>
            <w:tcW w:w="1155" w:type="dxa"/>
            <w:vAlign w:val="center"/>
          </w:tcPr>
          <w:p w14:paraId="3FA7530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7.00</w:t>
            </w:r>
          </w:p>
        </w:tc>
        <w:tc>
          <w:tcPr>
            <w:tcW w:w="1110" w:type="dxa"/>
            <w:vAlign w:val="center"/>
          </w:tcPr>
          <w:p w14:paraId="05D2FB2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9.18</w:t>
            </w:r>
          </w:p>
        </w:tc>
        <w:tc>
          <w:tcPr>
            <w:tcW w:w="1215" w:type="dxa"/>
            <w:tcBorders>
              <w:right w:val="single" w:color="auto" w:sz="6" w:space="0"/>
            </w:tcBorders>
            <w:vAlign w:val="center"/>
          </w:tcPr>
          <w:p w14:paraId="5A6E096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10.01</w:t>
            </w:r>
          </w:p>
        </w:tc>
      </w:tr>
      <w:tr w14:paraId="168A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 w14:paraId="1D1A0DA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30</w:t>
            </w:r>
          </w:p>
        </w:tc>
        <w:tc>
          <w:tcPr>
            <w:tcW w:w="1266" w:type="dxa"/>
            <w:vAlign w:val="center"/>
          </w:tcPr>
          <w:p w14:paraId="36C40B7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4.01</w:t>
            </w:r>
          </w:p>
        </w:tc>
        <w:tc>
          <w:tcPr>
            <w:tcW w:w="1179" w:type="dxa"/>
            <w:vAlign w:val="center"/>
          </w:tcPr>
          <w:p w14:paraId="233D837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4.02</w:t>
            </w:r>
          </w:p>
        </w:tc>
        <w:tc>
          <w:tcPr>
            <w:tcW w:w="1110" w:type="dxa"/>
            <w:vAlign w:val="center"/>
          </w:tcPr>
          <w:p w14:paraId="4B416BA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6.85</w:t>
            </w:r>
          </w:p>
        </w:tc>
        <w:tc>
          <w:tcPr>
            <w:tcW w:w="1155" w:type="dxa"/>
            <w:vAlign w:val="center"/>
          </w:tcPr>
          <w:p w14:paraId="311C717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6.99</w:t>
            </w:r>
          </w:p>
        </w:tc>
        <w:tc>
          <w:tcPr>
            <w:tcW w:w="1110" w:type="dxa"/>
            <w:vAlign w:val="center"/>
          </w:tcPr>
          <w:p w14:paraId="70007FD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9.14</w:t>
            </w:r>
          </w:p>
        </w:tc>
        <w:tc>
          <w:tcPr>
            <w:tcW w:w="1215" w:type="dxa"/>
            <w:tcBorders>
              <w:right w:val="single" w:color="auto" w:sz="6" w:space="0"/>
            </w:tcBorders>
            <w:vAlign w:val="center"/>
          </w:tcPr>
          <w:p w14:paraId="56CB6D7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9.97</w:t>
            </w:r>
          </w:p>
        </w:tc>
      </w:tr>
      <w:tr w14:paraId="109A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 w14:paraId="0404365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35</w:t>
            </w:r>
          </w:p>
        </w:tc>
        <w:tc>
          <w:tcPr>
            <w:tcW w:w="1266" w:type="dxa"/>
            <w:vAlign w:val="center"/>
          </w:tcPr>
          <w:p w14:paraId="05098CB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4.02</w:t>
            </w:r>
          </w:p>
        </w:tc>
        <w:tc>
          <w:tcPr>
            <w:tcW w:w="1179" w:type="dxa"/>
            <w:vAlign w:val="center"/>
          </w:tcPr>
          <w:p w14:paraId="1DAC4A1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4.02</w:t>
            </w:r>
          </w:p>
        </w:tc>
        <w:tc>
          <w:tcPr>
            <w:tcW w:w="1110" w:type="dxa"/>
            <w:vAlign w:val="center"/>
          </w:tcPr>
          <w:p w14:paraId="3E19EF3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6.84</w:t>
            </w:r>
          </w:p>
        </w:tc>
        <w:tc>
          <w:tcPr>
            <w:tcW w:w="1155" w:type="dxa"/>
            <w:vAlign w:val="center"/>
          </w:tcPr>
          <w:p w14:paraId="3598CA6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6.98</w:t>
            </w:r>
          </w:p>
        </w:tc>
        <w:tc>
          <w:tcPr>
            <w:tcW w:w="1110" w:type="dxa"/>
            <w:vAlign w:val="center"/>
          </w:tcPr>
          <w:p w14:paraId="09C686EE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9.10</w:t>
            </w:r>
          </w:p>
        </w:tc>
        <w:tc>
          <w:tcPr>
            <w:tcW w:w="1215" w:type="dxa"/>
            <w:tcBorders>
              <w:right w:val="single" w:color="auto" w:sz="6" w:space="0"/>
            </w:tcBorders>
            <w:vAlign w:val="center"/>
          </w:tcPr>
          <w:p w14:paraId="3FBA94B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9.93</w:t>
            </w:r>
          </w:p>
        </w:tc>
      </w:tr>
      <w:tr w14:paraId="571F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 w14:paraId="73EBCFD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40</w:t>
            </w:r>
          </w:p>
        </w:tc>
        <w:tc>
          <w:tcPr>
            <w:tcW w:w="1266" w:type="dxa"/>
            <w:vAlign w:val="center"/>
          </w:tcPr>
          <w:p w14:paraId="0AD48D0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4.03</w:t>
            </w:r>
          </w:p>
        </w:tc>
        <w:tc>
          <w:tcPr>
            <w:tcW w:w="1179" w:type="dxa"/>
            <w:vAlign w:val="center"/>
          </w:tcPr>
          <w:p w14:paraId="6CBBC8C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4.04</w:t>
            </w:r>
          </w:p>
        </w:tc>
        <w:tc>
          <w:tcPr>
            <w:tcW w:w="1110" w:type="dxa"/>
            <w:vAlign w:val="center"/>
          </w:tcPr>
          <w:p w14:paraId="4B61F6E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6.84</w:t>
            </w:r>
          </w:p>
        </w:tc>
        <w:tc>
          <w:tcPr>
            <w:tcW w:w="1155" w:type="dxa"/>
            <w:vAlign w:val="center"/>
          </w:tcPr>
          <w:p w14:paraId="2A4DEFF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6.97</w:t>
            </w:r>
          </w:p>
        </w:tc>
        <w:tc>
          <w:tcPr>
            <w:tcW w:w="1110" w:type="dxa"/>
            <w:vAlign w:val="center"/>
          </w:tcPr>
          <w:p w14:paraId="0D65800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9.07</w:t>
            </w:r>
          </w:p>
        </w:tc>
        <w:tc>
          <w:tcPr>
            <w:tcW w:w="1215" w:type="dxa"/>
            <w:tcBorders>
              <w:right w:val="single" w:color="auto" w:sz="6" w:space="0"/>
            </w:tcBorders>
            <w:vAlign w:val="center"/>
          </w:tcPr>
          <w:p w14:paraId="0D7A8CC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9.89</w:t>
            </w:r>
          </w:p>
        </w:tc>
      </w:tr>
      <w:tr w14:paraId="7411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 w14:paraId="45F9560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45</w:t>
            </w:r>
          </w:p>
        </w:tc>
        <w:tc>
          <w:tcPr>
            <w:tcW w:w="1266" w:type="dxa"/>
            <w:vAlign w:val="center"/>
          </w:tcPr>
          <w:p w14:paraId="49EA291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4.04</w:t>
            </w:r>
          </w:p>
        </w:tc>
        <w:tc>
          <w:tcPr>
            <w:tcW w:w="1179" w:type="dxa"/>
            <w:vAlign w:val="center"/>
          </w:tcPr>
          <w:p w14:paraId="60BCFB1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4.05</w:t>
            </w:r>
          </w:p>
        </w:tc>
        <w:tc>
          <w:tcPr>
            <w:tcW w:w="1110" w:type="dxa"/>
            <w:vAlign w:val="center"/>
          </w:tcPr>
          <w:p w14:paraId="519D5F6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6.83</w:t>
            </w:r>
          </w:p>
        </w:tc>
        <w:tc>
          <w:tcPr>
            <w:tcW w:w="1155" w:type="dxa"/>
            <w:vAlign w:val="center"/>
          </w:tcPr>
          <w:p w14:paraId="76F6508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6.97</w:t>
            </w:r>
          </w:p>
        </w:tc>
        <w:tc>
          <w:tcPr>
            <w:tcW w:w="1110" w:type="dxa"/>
            <w:vAlign w:val="center"/>
          </w:tcPr>
          <w:p w14:paraId="544A802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9.04</w:t>
            </w:r>
          </w:p>
        </w:tc>
        <w:tc>
          <w:tcPr>
            <w:tcW w:w="1215" w:type="dxa"/>
            <w:tcBorders>
              <w:right w:val="single" w:color="auto" w:sz="6" w:space="0"/>
            </w:tcBorders>
            <w:vAlign w:val="center"/>
          </w:tcPr>
          <w:p w14:paraId="21C7ED2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9.86</w:t>
            </w:r>
          </w:p>
        </w:tc>
      </w:tr>
      <w:tr w14:paraId="50BB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55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18198B7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50</w:t>
            </w:r>
          </w:p>
        </w:tc>
        <w:tc>
          <w:tcPr>
            <w:tcW w:w="1266" w:type="dxa"/>
            <w:tcBorders>
              <w:bottom w:val="single" w:color="auto" w:sz="6" w:space="0"/>
            </w:tcBorders>
            <w:vAlign w:val="center"/>
          </w:tcPr>
          <w:p w14:paraId="1375501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4.06</w:t>
            </w:r>
          </w:p>
        </w:tc>
        <w:tc>
          <w:tcPr>
            <w:tcW w:w="1179" w:type="dxa"/>
            <w:tcBorders>
              <w:bottom w:val="single" w:color="auto" w:sz="6" w:space="0"/>
            </w:tcBorders>
            <w:vAlign w:val="center"/>
          </w:tcPr>
          <w:p w14:paraId="33A5EE2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4.06</w:t>
            </w:r>
          </w:p>
        </w:tc>
        <w:tc>
          <w:tcPr>
            <w:tcW w:w="1110" w:type="dxa"/>
            <w:tcBorders>
              <w:bottom w:val="single" w:color="auto" w:sz="6" w:space="0"/>
            </w:tcBorders>
            <w:vAlign w:val="center"/>
          </w:tcPr>
          <w:p w14:paraId="282EACF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6.83</w:t>
            </w:r>
          </w:p>
        </w:tc>
        <w:tc>
          <w:tcPr>
            <w:tcW w:w="1155" w:type="dxa"/>
            <w:tcBorders>
              <w:bottom w:val="single" w:color="auto" w:sz="6" w:space="0"/>
            </w:tcBorders>
            <w:vAlign w:val="center"/>
          </w:tcPr>
          <w:p w14:paraId="4E10E04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6.97</w:t>
            </w:r>
          </w:p>
        </w:tc>
        <w:tc>
          <w:tcPr>
            <w:tcW w:w="1110" w:type="dxa"/>
            <w:tcBorders>
              <w:bottom w:val="single" w:color="auto" w:sz="6" w:space="0"/>
            </w:tcBorders>
            <w:vAlign w:val="center"/>
          </w:tcPr>
          <w:p w14:paraId="35AD0CF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9.02</w:t>
            </w:r>
          </w:p>
        </w:tc>
        <w:tc>
          <w:tcPr>
            <w:tcW w:w="1215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78FCE0F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9.83</w:t>
            </w:r>
          </w:p>
        </w:tc>
      </w:tr>
    </w:tbl>
    <w:p w14:paraId="259C0BA4">
      <w:pPr>
        <w:pStyle w:val="4"/>
        <w:numPr>
          <w:ilvl w:val="0"/>
          <w:numId w:val="7"/>
        </w:numPr>
        <w:spacing w:beforeLines="50" w:afterLines="50" w:line="240" w:lineRule="auto"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16" w:name="_Toc19025326"/>
      <w:bookmarkStart w:id="17" w:name="OLE_LINK11"/>
      <w:r>
        <w:rPr>
          <w:rFonts w:ascii="Times New Roman" w:hAnsi="Times New Roman" w:eastAsia="宋体" w:cs="Times New Roman"/>
          <w:sz w:val="28"/>
          <w:szCs w:val="28"/>
          <w:highlight w:val="none"/>
        </w:rPr>
        <w:t>校准</w:t>
      </w:r>
      <w:bookmarkEnd w:id="16"/>
    </w:p>
    <w:p w14:paraId="40CC16F1">
      <w:pPr>
        <w:widowControl/>
        <w:ind w:firstLine="241" w:firstLineChars="100"/>
        <w:rPr>
          <w:rFonts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sz w:val="24"/>
          <w:szCs w:val="24"/>
          <w:highlight w:val="none"/>
        </w:rPr>
        <w:t>注意：传感器在出厂前已经校准，若非超出测量误差，不宜随意校准。</w:t>
      </w:r>
    </w:p>
    <w:p w14:paraId="41BB899E">
      <w:pPr>
        <w:numPr>
          <w:ilvl w:val="0"/>
          <w:numId w:val="8"/>
        </w:numPr>
        <w:ind w:left="210" w:leftChars="1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零点校准</w:t>
      </w:r>
    </w:p>
    <w:p w14:paraId="22CA2A2B">
      <w:pPr>
        <w:pStyle w:val="31"/>
        <w:ind w:left="210" w:leftChars="100" w:firstLine="48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用量筒量取250mL的蒸馏水，倒入烧杯中，加入pH=6.86的校准粉一包，用玻璃棒搅拌均匀，直至粉末完全溶解，配置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成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pH=6.86的溶液，将传感器放入溶液中，等待3～5分钟，待数值稳定后看显示的数值是否是6.86，如果不是则需进行零点校准，校准指令参照附录</w:t>
      </w:r>
      <w:r>
        <w:rPr>
          <w:rFonts w:ascii="Times New Roman" w:hAnsi="Times New Roman" w:eastAsia="宋体" w:cs="Times New Roman"/>
          <w:sz w:val="24"/>
          <w:highlight w:val="none"/>
        </w:rPr>
        <w:t>。</w:t>
      </w:r>
    </w:p>
    <w:p w14:paraId="2B77FE72">
      <w:pPr>
        <w:numPr>
          <w:ilvl w:val="0"/>
          <w:numId w:val="8"/>
        </w:numPr>
        <w:ind w:left="210" w:leftChars="1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斜率校准</w:t>
      </w:r>
    </w:p>
    <w:p w14:paraId="0C6CFBEB">
      <w:pPr>
        <w:ind w:left="210" w:leftChars="100"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酸性溶液时：用量筒量取250mL的蒸馏水，倒入烧杯中，加入pH=4.00的校准粉一包，用玻璃棒搅拌均匀，直至粉末完全溶解，配置成pH=4.00的溶液；将传感器放入溶液中，等待3～5分钟，待数值稳定后看显示数值是否是4.00，如果不是则需进行斜率校准，校准指令参照附录。</w:t>
      </w:r>
    </w:p>
    <w:p w14:paraId="53B8949C">
      <w:pPr>
        <w:ind w:left="210" w:leftChars="100"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碱性溶液时：用量筒量取250mL的蒸馏水，倒入烧杯中，加入pH=9.18的校准粉一包，用玻璃棒搅拌均匀，直至粉末完全溶解，配置成pH=9.18的溶液；将传感器放入溶液中，等待3～5分钟，待数值稳定后看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显示数值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是否是9.18，如果不是则需进行斜率校准，校准指令参照附录。</w:t>
      </w:r>
    </w:p>
    <w:p w14:paraId="543588A6">
      <w:pPr>
        <w:pStyle w:val="3"/>
        <w:numPr>
          <w:ilvl w:val="0"/>
          <w:numId w:val="2"/>
        </w:numPr>
        <w:spacing w:beforeLines="100" w:afterLines="50" w:line="240" w:lineRule="auto"/>
        <w:ind w:left="210" w:leftChars="100" w:firstLine="323"/>
        <w:rPr>
          <w:rFonts w:ascii="Times New Roman" w:hAnsi="Times New Roman" w:eastAsia="宋体" w:cs="Times New Roman"/>
          <w:highlight w:val="none"/>
        </w:rPr>
      </w:pPr>
      <w:bookmarkStart w:id="18" w:name="_Toc494117818"/>
      <w:bookmarkStart w:id="19" w:name="_Toc19025327"/>
      <w:r>
        <w:rPr>
          <w:rFonts w:ascii="Times New Roman" w:hAnsi="Times New Roman" w:eastAsia="宋体" w:cs="Times New Roman"/>
          <w:highlight w:val="none"/>
        </w:rPr>
        <w:t>质量和服务</w:t>
      </w:r>
      <w:bookmarkEnd w:id="18"/>
      <w:bookmarkEnd w:id="19"/>
    </w:p>
    <w:p w14:paraId="59363281">
      <w:pPr>
        <w:pStyle w:val="24"/>
        <w:numPr>
          <w:ilvl w:val="0"/>
          <w:numId w:val="9"/>
        </w:numPr>
        <w:suppressAutoHyphens w:val="0"/>
        <w:ind w:left="210" w:leftChars="100" w:firstLineChars="0"/>
        <w:jc w:val="both"/>
        <w:outlineLvl w:val="2"/>
        <w:rPr>
          <w:rFonts w:ascii="Times New Roman" w:hAnsi="Times New Roman"/>
          <w:b/>
          <w:kern w:val="0"/>
          <w:szCs w:val="28"/>
          <w:highlight w:val="none"/>
        </w:rPr>
      </w:pPr>
      <w:bookmarkStart w:id="20" w:name="_Toc492393682"/>
      <w:bookmarkStart w:id="21" w:name="_Toc19025328"/>
      <w:r>
        <w:rPr>
          <w:rFonts w:ascii="Times New Roman" w:hAnsi="Times New Roman"/>
          <w:b/>
          <w:kern w:val="0"/>
          <w:szCs w:val="28"/>
          <w:highlight w:val="none"/>
        </w:rPr>
        <w:t>质量保证</w:t>
      </w:r>
      <w:bookmarkEnd w:id="20"/>
      <w:bookmarkEnd w:id="21"/>
    </w:p>
    <w:p w14:paraId="5138AC24">
      <w:pPr>
        <w:numPr>
          <w:ilvl w:val="0"/>
          <w:numId w:val="10"/>
        </w:numPr>
        <w:tabs>
          <w:tab w:val="left" w:pos="420"/>
        </w:tabs>
        <w:ind w:left="0"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质检部门有规范的检验规程，具备先进完善的检测设备和手段，并严格按照规程检验，对产品做72小时老化实验、稳定性实验，不让一支不合格产品出厂。</w:t>
      </w:r>
    </w:p>
    <w:p w14:paraId="65C6FB7A">
      <w:pPr>
        <w:numPr>
          <w:ilvl w:val="0"/>
          <w:numId w:val="10"/>
        </w:numPr>
        <w:tabs>
          <w:tab w:val="left" w:pos="420"/>
        </w:tabs>
        <w:ind w:left="0" w:firstLine="480" w:firstLineChars="200"/>
        <w:rPr>
          <w:rFonts w:ascii="Times New Roman" w:hAnsi="Times New Roman" w:eastAsia="宋体" w:cs="Times New Roman"/>
          <w:szCs w:val="28"/>
          <w:highlight w:val="none"/>
          <w:shd w:val="clear" w:color="FFFFFF" w:fill="D9D9D9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收货方对不合格率达到2%的产品批次直接退回，所有产生的费用由供货方承担。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检测</w:t>
      </w: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标准参考供货方提供的产品说明。</w:t>
      </w:r>
    </w:p>
    <w:p w14:paraId="7C37ED4C">
      <w:pPr>
        <w:numPr>
          <w:ilvl w:val="0"/>
          <w:numId w:val="10"/>
        </w:numPr>
        <w:tabs>
          <w:tab w:val="left" w:pos="420"/>
        </w:tabs>
        <w:ind w:left="0" w:firstLine="480" w:firstLineChars="200"/>
        <w:rPr>
          <w:rFonts w:ascii="Times New Roman" w:hAnsi="Times New Roman" w:eastAsia="宋体" w:cs="Times New Roman"/>
          <w:szCs w:val="28"/>
          <w:highlight w:val="none"/>
          <w:shd w:val="clear" w:color="FFFFFF" w:fill="D9D9D9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保证货源数量和出货速度。</w:t>
      </w:r>
    </w:p>
    <w:p w14:paraId="726C6A7D">
      <w:pPr>
        <w:pStyle w:val="24"/>
        <w:numPr>
          <w:ilvl w:val="0"/>
          <w:numId w:val="9"/>
        </w:numPr>
        <w:suppressAutoHyphens w:val="0"/>
        <w:ind w:left="210" w:leftChars="100" w:firstLineChars="0"/>
        <w:jc w:val="both"/>
        <w:outlineLvl w:val="2"/>
        <w:rPr>
          <w:rFonts w:ascii="Times New Roman" w:hAnsi="Times New Roman"/>
          <w:b/>
          <w:kern w:val="0"/>
          <w:szCs w:val="28"/>
          <w:highlight w:val="none"/>
        </w:rPr>
      </w:pPr>
      <w:bookmarkStart w:id="22" w:name="_Toc452497955"/>
      <w:bookmarkStart w:id="23" w:name="_Toc19025329"/>
      <w:bookmarkStart w:id="24" w:name="_Toc8014"/>
      <w:bookmarkStart w:id="25" w:name="_Toc26673"/>
      <w:bookmarkStart w:id="26" w:name="_Toc453839765"/>
      <w:bookmarkStart w:id="27" w:name="_Toc446678251"/>
      <w:bookmarkStart w:id="28" w:name="_Toc492393683"/>
      <w:bookmarkStart w:id="29" w:name="_Toc427659760"/>
      <w:r>
        <w:rPr>
          <w:rFonts w:ascii="Times New Roman" w:hAnsi="Times New Roman"/>
          <w:b/>
          <w:kern w:val="0"/>
          <w:szCs w:val="28"/>
          <w:highlight w:val="none"/>
        </w:rPr>
        <w:t>配件和备件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0BA91DB7">
      <w:pPr>
        <w:ind w:firstLine="240" w:firstLineChars="1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此产品包括：</w:t>
      </w:r>
    </w:p>
    <w:p w14:paraId="037A4895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传感器1支</w:t>
      </w:r>
    </w:p>
    <w:p w14:paraId="2169B29D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校准粉3包</w:t>
      </w:r>
    </w:p>
    <w:p w14:paraId="08FD5500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说明书1份</w:t>
      </w:r>
    </w:p>
    <w:p w14:paraId="5E8B065F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合格证1张</w:t>
      </w:r>
    </w:p>
    <w:p w14:paraId="1C01B344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线缆1根（5米）</w:t>
      </w:r>
    </w:p>
    <w:p w14:paraId="6A4D9DD9">
      <w:pPr>
        <w:pStyle w:val="24"/>
        <w:numPr>
          <w:ilvl w:val="0"/>
          <w:numId w:val="9"/>
        </w:numPr>
        <w:suppressAutoHyphens w:val="0"/>
        <w:ind w:left="210" w:leftChars="100" w:firstLineChars="0"/>
        <w:jc w:val="both"/>
        <w:outlineLvl w:val="2"/>
        <w:rPr>
          <w:rFonts w:ascii="Times New Roman" w:hAnsi="Times New Roman"/>
          <w:b/>
          <w:kern w:val="0"/>
          <w:szCs w:val="28"/>
          <w:highlight w:val="none"/>
        </w:rPr>
      </w:pPr>
      <w:bookmarkStart w:id="30" w:name="_Toc452497956"/>
      <w:bookmarkStart w:id="31" w:name="_Toc492393684"/>
      <w:bookmarkStart w:id="32" w:name="_Toc19215"/>
      <w:bookmarkStart w:id="33" w:name="_Toc19025330"/>
      <w:bookmarkStart w:id="34" w:name="_Toc453839766"/>
      <w:r>
        <w:rPr>
          <w:rFonts w:ascii="Times New Roman" w:hAnsi="Times New Roman"/>
          <w:b/>
          <w:kern w:val="0"/>
          <w:szCs w:val="28"/>
          <w:highlight w:val="none"/>
        </w:rPr>
        <w:t>售后服务承诺</w:t>
      </w:r>
      <w:bookmarkEnd w:id="29"/>
      <w:bookmarkEnd w:id="30"/>
      <w:bookmarkEnd w:id="31"/>
      <w:bookmarkEnd w:id="32"/>
      <w:bookmarkEnd w:id="33"/>
      <w:bookmarkEnd w:id="34"/>
    </w:p>
    <w:p w14:paraId="27256F29">
      <w:pPr>
        <w:tabs>
          <w:tab w:val="left" w:pos="420"/>
        </w:tabs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bookmarkStart w:id="35" w:name="OLE_LINK9"/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本公司提供自销售日起一年内的本机售后服务，但不包括不当使用所造成的损坏，若需要维修或调整，请寄回，但运费需自负，寄回时需确定包装良好以避免运送途中损坏，本公司将免费维修仪器的损坏。</w:t>
      </w:r>
      <w:bookmarkEnd w:id="17"/>
      <w:bookmarkEnd w:id="35"/>
    </w:p>
    <w:p w14:paraId="4C6BC47E">
      <w:pPr>
        <w:widowControl/>
        <w:jc w:val="left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br w:type="page"/>
      </w:r>
    </w:p>
    <w:p w14:paraId="18837E6D">
      <w:pPr>
        <w:pStyle w:val="3"/>
        <w:spacing w:beforeLines="100" w:afterLines="50" w:line="240" w:lineRule="auto"/>
        <w:ind w:left="323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36" w:name="_Toc19025331"/>
      <w:r>
        <w:rPr>
          <w:rFonts w:ascii="Times New Roman" w:hAnsi="Times New Roman" w:eastAsia="宋体" w:cs="Times New Roman"/>
          <w:highlight w:val="none"/>
        </w:rPr>
        <w:t>附录</w:t>
      </w:r>
      <w:bookmarkStart w:id="37" w:name="_Toc496251213"/>
      <w:bookmarkStart w:id="38" w:name="_Toc494117816"/>
      <w:r>
        <w:rPr>
          <w:rFonts w:ascii="Times New Roman" w:hAnsi="Times New Roman" w:eastAsia="宋体" w:cs="Times New Roman"/>
          <w:highlight w:val="none"/>
        </w:rPr>
        <w:t xml:space="preserve"> 数据通信</w:t>
      </w:r>
      <w:bookmarkEnd w:id="36"/>
      <w:bookmarkEnd w:id="37"/>
      <w:bookmarkEnd w:id="38"/>
    </w:p>
    <w:p w14:paraId="08990A16">
      <w:pPr>
        <w:pStyle w:val="24"/>
        <w:numPr>
          <w:ilvl w:val="1"/>
          <w:numId w:val="12"/>
        </w:numPr>
        <w:suppressAutoHyphens w:val="0"/>
        <w:spacing w:beforeLines="50" w:afterLines="50"/>
        <w:ind w:firstLineChars="0"/>
        <w:jc w:val="both"/>
        <w:rPr>
          <w:rFonts w:ascii="Times New Roman" w:hAnsi="Times New Roman"/>
          <w:b/>
          <w:kern w:val="0"/>
          <w:szCs w:val="28"/>
          <w:highlight w:val="none"/>
        </w:rPr>
      </w:pPr>
      <w:bookmarkStart w:id="39" w:name="OLE_LINK3"/>
      <w:r>
        <w:rPr>
          <w:rFonts w:ascii="Times New Roman" w:hAnsi="Times New Roman"/>
          <w:b/>
          <w:kern w:val="0"/>
          <w:szCs w:val="28"/>
          <w:highlight w:val="none"/>
        </w:rPr>
        <w:t>数据格式</w:t>
      </w:r>
      <w:bookmarkEnd w:id="39"/>
      <w:bookmarkStart w:id="40" w:name="OLE_LINK4"/>
    </w:p>
    <w:bookmarkEnd w:id="40"/>
    <w:p w14:paraId="2143BEB7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Modbus通信默认的数据格式为：9600、n、8、1（波特率9600bps，1个起始位，8个数据位，无校验，1个停止位）。</w:t>
      </w:r>
    </w:p>
    <w:p w14:paraId="35EB43C8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波特率等参数可以定制。</w:t>
      </w:r>
    </w:p>
    <w:p w14:paraId="117ED7FB">
      <w:pPr>
        <w:pStyle w:val="24"/>
        <w:numPr>
          <w:ilvl w:val="1"/>
          <w:numId w:val="12"/>
        </w:numPr>
        <w:suppressAutoHyphens w:val="0"/>
        <w:spacing w:beforeLines="50" w:afterLines="50"/>
        <w:ind w:firstLineChars="0"/>
        <w:jc w:val="both"/>
        <w:rPr>
          <w:rFonts w:ascii="Times New Roman" w:hAnsi="Times New Roman"/>
          <w:b/>
          <w:kern w:val="0"/>
          <w:szCs w:val="28"/>
          <w:highlight w:val="none"/>
        </w:rPr>
      </w:pPr>
      <w:bookmarkStart w:id="41" w:name="_Hlk13492458"/>
      <w:r>
        <w:rPr>
          <w:rFonts w:ascii="Times New Roman" w:hAnsi="Times New Roman"/>
          <w:b/>
          <w:kern w:val="0"/>
          <w:szCs w:val="28"/>
          <w:highlight w:val="none"/>
        </w:rPr>
        <w:t>信息帧格式</w:t>
      </w:r>
    </w:p>
    <w:p w14:paraId="2CE413F4">
      <w:pPr>
        <w:pStyle w:val="24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读数据指令帧</w:t>
      </w:r>
    </w:p>
    <w:p w14:paraId="7CC56ED3">
      <w:pPr>
        <w:pStyle w:val="34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03         xx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 xx xx</w:t>
      </w:r>
    </w:p>
    <w:p w14:paraId="37974FD7">
      <w:pPr>
        <w:pStyle w:val="34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寄存器地址      寄存器数量    CRC校验码（低字节在前）</w:t>
      </w:r>
    </w:p>
    <w:p w14:paraId="6051AA1D">
      <w:pPr>
        <w:pStyle w:val="24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读数据应答帧</w:t>
      </w:r>
    </w:p>
    <w:p w14:paraId="39ABE795">
      <w:pPr>
        <w:pStyle w:val="34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03       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xx……xx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</w:p>
    <w:p w14:paraId="04A0DBA4">
      <w:pPr>
        <w:pStyle w:val="34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字节数          应答数据      CRC校验码（低字节在前）</w:t>
      </w:r>
    </w:p>
    <w:p w14:paraId="1AA9ABAD">
      <w:pPr>
        <w:pStyle w:val="24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写数据指令帧</w:t>
      </w:r>
    </w:p>
    <w:p w14:paraId="79030F91">
      <w:pPr>
        <w:pStyle w:val="34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06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xx  xx          xx  xx 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xx  xx</w:t>
      </w:r>
    </w:p>
    <w:p w14:paraId="4DE85DF6">
      <w:pPr>
        <w:pStyle w:val="34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寄存器地址      写入数据      CRC校验码（低字节在前）</w:t>
      </w:r>
    </w:p>
    <w:p w14:paraId="1F30EAFE">
      <w:pPr>
        <w:pStyle w:val="24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写数据应答帧（同写数据指令帧）</w:t>
      </w:r>
    </w:p>
    <w:p w14:paraId="4EEE85D9">
      <w:pPr>
        <w:pStyle w:val="34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06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xx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 xx  xx</w:t>
      </w:r>
    </w:p>
    <w:p w14:paraId="2CC741AD">
      <w:pPr>
        <w:pStyle w:val="34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寄存器地址      写入数据      CRC校验码（低字节在前）</w:t>
      </w:r>
    </w:p>
    <w:bookmarkEnd w:id="41"/>
    <w:p w14:paraId="1E3F918D">
      <w:pPr>
        <w:pStyle w:val="24"/>
        <w:numPr>
          <w:ilvl w:val="1"/>
          <w:numId w:val="12"/>
        </w:numPr>
        <w:suppressAutoHyphens w:val="0"/>
        <w:spacing w:beforeLines="50" w:afterLines="50"/>
        <w:ind w:firstLineChars="0"/>
        <w:jc w:val="both"/>
        <w:rPr>
          <w:rFonts w:ascii="Times New Roman" w:hAnsi="Times New Roman"/>
          <w:b/>
          <w:kern w:val="0"/>
          <w:szCs w:val="28"/>
          <w:highlight w:val="none"/>
        </w:rPr>
      </w:pPr>
      <w:r>
        <w:rPr>
          <w:rFonts w:ascii="Times New Roman" w:hAnsi="Times New Roman"/>
          <w:b/>
          <w:kern w:val="0"/>
          <w:szCs w:val="28"/>
          <w:highlight w:val="none"/>
        </w:rPr>
        <w:t>寄存器地址</w:t>
      </w:r>
    </w:p>
    <w:tbl>
      <w:tblPr>
        <w:tblStyle w:val="14"/>
        <w:tblW w:w="885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67"/>
        <w:gridCol w:w="2979"/>
        <w:gridCol w:w="1546"/>
        <w:gridCol w:w="1235"/>
      </w:tblGrid>
      <w:tr w14:paraId="700852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225B1338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寄存器地址</w:t>
            </w:r>
          </w:p>
        </w:tc>
        <w:tc>
          <w:tcPr>
            <w:tcW w:w="1567" w:type="dxa"/>
            <w:tcBorders>
              <w:top w:val="single" w:color="auto" w:sz="6" w:space="0"/>
            </w:tcBorders>
            <w:vAlign w:val="center"/>
          </w:tcPr>
          <w:p w14:paraId="63BE4AAB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名称</w:t>
            </w:r>
          </w:p>
        </w:tc>
        <w:tc>
          <w:tcPr>
            <w:tcW w:w="2979" w:type="dxa"/>
            <w:tcBorders>
              <w:top w:val="single" w:color="auto" w:sz="6" w:space="0"/>
            </w:tcBorders>
            <w:vAlign w:val="center"/>
          </w:tcPr>
          <w:p w14:paraId="4D41519C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说明</w:t>
            </w:r>
          </w:p>
        </w:tc>
        <w:tc>
          <w:tcPr>
            <w:tcW w:w="1546" w:type="dxa"/>
            <w:tcBorders>
              <w:top w:val="single" w:color="auto" w:sz="6" w:space="0"/>
            </w:tcBorders>
            <w:vAlign w:val="center"/>
          </w:tcPr>
          <w:p w14:paraId="465EDCC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寄存器个数</w:t>
            </w:r>
          </w:p>
        </w:tc>
        <w:tc>
          <w:tcPr>
            <w:tcW w:w="1235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272C720A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访问方式</w:t>
            </w:r>
          </w:p>
        </w:tc>
      </w:tr>
      <w:tr w14:paraId="5D721E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34B7BDA1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40001</w:t>
            </w:r>
          </w:p>
          <w:p w14:paraId="5668D45F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(0x0000)</w:t>
            </w:r>
          </w:p>
        </w:tc>
        <w:tc>
          <w:tcPr>
            <w:tcW w:w="1567" w:type="dxa"/>
            <w:vAlign w:val="center"/>
          </w:tcPr>
          <w:p w14:paraId="2463AE1D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测量值+温度</w:t>
            </w:r>
          </w:p>
        </w:tc>
        <w:tc>
          <w:tcPr>
            <w:tcW w:w="2979" w:type="dxa"/>
          </w:tcPr>
          <w:p w14:paraId="508F00AC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4个双字节整数，分别为测量值、测量值小数位数、温度值、温度值小数位数。</w:t>
            </w:r>
          </w:p>
        </w:tc>
        <w:tc>
          <w:tcPr>
            <w:tcW w:w="1546" w:type="dxa"/>
            <w:vAlign w:val="center"/>
          </w:tcPr>
          <w:p w14:paraId="52DBA467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4（8字节）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 w14:paraId="6F63E138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读</w:t>
            </w:r>
          </w:p>
        </w:tc>
      </w:tr>
      <w:tr w14:paraId="337F77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39125686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44097</w:t>
            </w:r>
          </w:p>
          <w:p w14:paraId="227287B2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(0x1000)</w:t>
            </w:r>
          </w:p>
        </w:tc>
        <w:tc>
          <w:tcPr>
            <w:tcW w:w="1567" w:type="dxa"/>
            <w:vAlign w:val="center"/>
          </w:tcPr>
          <w:p w14:paraId="56584AA8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零点校准</w:t>
            </w:r>
          </w:p>
        </w:tc>
        <w:tc>
          <w:tcPr>
            <w:tcW w:w="2979" w:type="dxa"/>
          </w:tcPr>
          <w:p w14:paraId="6B740C5F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在pH为6.86的标准液中校准，写入数据为0。读出数据为零点偏移量</w:t>
            </w:r>
          </w:p>
        </w:tc>
        <w:tc>
          <w:tcPr>
            <w:tcW w:w="1546" w:type="dxa"/>
            <w:vAlign w:val="center"/>
          </w:tcPr>
          <w:p w14:paraId="19CE1916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1（2字节）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 w14:paraId="3857DABE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写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/读</w:t>
            </w:r>
          </w:p>
        </w:tc>
      </w:tr>
      <w:tr w14:paraId="3A4F3E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0C815ADD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44099</w:t>
            </w:r>
          </w:p>
          <w:p w14:paraId="4AD13D8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(0x1002)</w:t>
            </w:r>
          </w:p>
        </w:tc>
        <w:tc>
          <w:tcPr>
            <w:tcW w:w="1567" w:type="dxa"/>
            <w:vAlign w:val="center"/>
          </w:tcPr>
          <w:p w14:paraId="6F758CFF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斜率校准</w:t>
            </w:r>
          </w:p>
          <w:p w14:paraId="4174856A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(4.00pH)</w:t>
            </w:r>
          </w:p>
        </w:tc>
        <w:tc>
          <w:tcPr>
            <w:tcW w:w="2979" w:type="dxa"/>
          </w:tcPr>
          <w:p w14:paraId="7782DBE8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在pH为4.00的标准液中校准，写入数据为0。</w:t>
            </w:r>
          </w:p>
        </w:tc>
        <w:tc>
          <w:tcPr>
            <w:tcW w:w="1546" w:type="dxa"/>
            <w:vAlign w:val="center"/>
          </w:tcPr>
          <w:p w14:paraId="068DA04C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1（2字节）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 w14:paraId="663200AE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写</w:t>
            </w:r>
          </w:p>
        </w:tc>
      </w:tr>
      <w:tr w14:paraId="2FC577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138B08E7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44101</w:t>
            </w:r>
          </w:p>
          <w:p w14:paraId="217E64DC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(0x1004)</w:t>
            </w:r>
          </w:p>
        </w:tc>
        <w:tc>
          <w:tcPr>
            <w:tcW w:w="1567" w:type="dxa"/>
            <w:vAlign w:val="center"/>
          </w:tcPr>
          <w:p w14:paraId="46E9B54D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斜率校准</w:t>
            </w:r>
          </w:p>
          <w:p w14:paraId="0D05C774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(9.18pH)</w:t>
            </w:r>
          </w:p>
        </w:tc>
        <w:tc>
          <w:tcPr>
            <w:tcW w:w="2979" w:type="dxa"/>
          </w:tcPr>
          <w:p w14:paraId="7E8559F9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在pH为9.18的标准液中校准，写入数据为0。读出数据为斜率值x1000。</w:t>
            </w:r>
          </w:p>
        </w:tc>
        <w:tc>
          <w:tcPr>
            <w:tcW w:w="1546" w:type="dxa"/>
            <w:vAlign w:val="center"/>
          </w:tcPr>
          <w:p w14:paraId="26CC63CB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1（2字节）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 w14:paraId="4F373DE3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写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/读</w:t>
            </w:r>
          </w:p>
        </w:tc>
      </w:tr>
      <w:tr w14:paraId="1C958A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08C9BF8D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44113</w:t>
            </w:r>
          </w:p>
          <w:p w14:paraId="037FE42E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(0x1010)</w:t>
            </w:r>
          </w:p>
        </w:tc>
        <w:tc>
          <w:tcPr>
            <w:tcW w:w="1567" w:type="dxa"/>
            <w:vAlign w:val="center"/>
          </w:tcPr>
          <w:p w14:paraId="59A241E9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温度校准</w:t>
            </w:r>
          </w:p>
        </w:tc>
        <w:tc>
          <w:tcPr>
            <w:tcW w:w="2979" w:type="dxa"/>
          </w:tcPr>
          <w:p w14:paraId="7D7FB5C1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在溶液中校准，写入数据为实际温度值x10；读出数据为温度校准偏移量x10。</w:t>
            </w:r>
          </w:p>
        </w:tc>
        <w:tc>
          <w:tcPr>
            <w:tcW w:w="1546" w:type="dxa"/>
            <w:vAlign w:val="center"/>
          </w:tcPr>
          <w:p w14:paraId="6D93507E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1（2字节）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 w14:paraId="1230FFE5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写/读</w:t>
            </w:r>
          </w:p>
        </w:tc>
      </w:tr>
      <w:tr w14:paraId="5B128B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0000BC3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48195</w:t>
            </w:r>
          </w:p>
          <w:p w14:paraId="7F4A0E43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(0x2002)</w:t>
            </w:r>
          </w:p>
        </w:tc>
        <w:tc>
          <w:tcPr>
            <w:tcW w:w="1567" w:type="dxa"/>
            <w:vAlign w:val="center"/>
          </w:tcPr>
          <w:p w14:paraId="06D43B6B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传感器地址</w:t>
            </w:r>
          </w:p>
        </w:tc>
        <w:tc>
          <w:tcPr>
            <w:tcW w:w="2979" w:type="dxa"/>
          </w:tcPr>
          <w:p w14:paraId="61C8D4DD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默认为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，写入数据范围1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～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255。</w:t>
            </w:r>
          </w:p>
        </w:tc>
        <w:tc>
          <w:tcPr>
            <w:tcW w:w="1546" w:type="dxa"/>
            <w:vAlign w:val="center"/>
          </w:tcPr>
          <w:p w14:paraId="365B8E5D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1（2字节）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 w14:paraId="32F33737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写/读</w:t>
            </w:r>
          </w:p>
        </w:tc>
      </w:tr>
      <w:tr w14:paraId="7E6C32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5CB50E32"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48196</w:t>
            </w:r>
          </w:p>
          <w:p w14:paraId="4A2DC522"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(0x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2003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1567" w:type="dxa"/>
            <w:vAlign w:val="center"/>
          </w:tcPr>
          <w:p w14:paraId="08C2D753">
            <w:pPr>
              <w:widowControl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波特率</w:t>
            </w:r>
          </w:p>
        </w:tc>
        <w:tc>
          <w:tcPr>
            <w:tcW w:w="2979" w:type="dxa"/>
            <w:vAlign w:val="top"/>
          </w:tcPr>
          <w:p w14:paraId="7F79718E">
            <w:pPr>
              <w:widowControl/>
              <w:spacing w:line="400" w:lineRule="atLeas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默认为 9600。0--9600，</w:t>
            </w:r>
          </w:p>
          <w:p w14:paraId="1F723EC1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1--19200。</w:t>
            </w:r>
          </w:p>
        </w:tc>
        <w:tc>
          <w:tcPr>
            <w:tcW w:w="1546" w:type="dxa"/>
            <w:vAlign w:val="center"/>
          </w:tcPr>
          <w:p w14:paraId="0B7F01BD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1（2字节）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 w14:paraId="0845FBF7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写/读</w:t>
            </w:r>
          </w:p>
        </w:tc>
      </w:tr>
    </w:tbl>
    <w:p w14:paraId="2FC0CF35">
      <w:pPr>
        <w:pStyle w:val="24"/>
        <w:numPr>
          <w:ilvl w:val="1"/>
          <w:numId w:val="12"/>
        </w:numPr>
        <w:suppressAutoHyphens w:val="0"/>
        <w:spacing w:beforeLines="50"/>
        <w:ind w:firstLineChars="0"/>
        <w:jc w:val="both"/>
        <w:rPr>
          <w:rFonts w:ascii="Times New Roman" w:hAnsi="Times New Roman"/>
          <w:b/>
          <w:kern w:val="0"/>
          <w:szCs w:val="28"/>
          <w:highlight w:val="none"/>
        </w:rPr>
      </w:pPr>
      <w:r>
        <w:rPr>
          <w:rFonts w:ascii="Times New Roman" w:hAnsi="Times New Roman"/>
          <w:b/>
          <w:kern w:val="0"/>
          <w:szCs w:val="28"/>
          <w:highlight w:val="none"/>
        </w:rPr>
        <w:t>命令示例</w:t>
      </w:r>
    </w:p>
    <w:p w14:paraId="37EAEEEA">
      <w:pPr>
        <w:pStyle w:val="24"/>
        <w:numPr>
          <w:ilvl w:val="0"/>
          <w:numId w:val="14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读取数据指令</w:t>
      </w:r>
    </w:p>
    <w:p w14:paraId="64E78833">
      <w:pPr>
        <w:pStyle w:val="29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作用：获取传感器测量的pH和温度；温度的单位为℃。</w:t>
      </w:r>
    </w:p>
    <w:p w14:paraId="04406AE4">
      <w:pPr>
        <w:pStyle w:val="29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3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03 00 00 00 04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45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EB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；</w:t>
      </w:r>
    </w:p>
    <w:p w14:paraId="2B6EF75D">
      <w:pPr>
        <w:pStyle w:val="29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03 08 00 62 00 02 01 01 00 01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35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95</w:t>
      </w:r>
    </w:p>
    <w:p w14:paraId="57E7E9CF">
      <w:pPr>
        <w:pStyle w:val="29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读数示例：</w:t>
      </w:r>
    </w:p>
    <w:tbl>
      <w:tblPr>
        <w:tblStyle w:val="13"/>
        <w:tblpPr w:leftFromText="180" w:rightFromText="180" w:vertAnchor="text" w:horzAnchor="page" w:tblpXSpec="center" w:tblpY="166"/>
        <w:tblOverlap w:val="never"/>
        <w:tblW w:w="3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920"/>
      </w:tblGrid>
      <w:tr w14:paraId="5066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</w:tcBorders>
          </w:tcPr>
          <w:p w14:paraId="60DC41AD">
            <w:pPr>
              <w:pStyle w:val="29"/>
              <w:ind w:left="-71" w:leftChars="-34" w:firstLine="480" w:firstLineChars="20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pH值</w:t>
            </w:r>
          </w:p>
        </w:tc>
        <w:tc>
          <w:tcPr>
            <w:tcW w:w="1920" w:type="dxa"/>
            <w:tcBorders>
              <w:top w:val="single" w:color="auto" w:sz="6" w:space="0"/>
              <w:right w:val="single" w:color="auto" w:sz="6" w:space="0"/>
            </w:tcBorders>
          </w:tcPr>
          <w:p w14:paraId="271FF375">
            <w:pPr>
              <w:pStyle w:val="29"/>
              <w:ind w:left="-71" w:leftChars="-34" w:firstLine="600" w:firstLineChars="25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温度值</w:t>
            </w:r>
          </w:p>
        </w:tc>
      </w:tr>
      <w:tr w14:paraId="0171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5" w:type="dxa"/>
            <w:tcBorders>
              <w:left w:val="single" w:color="auto" w:sz="6" w:space="0"/>
              <w:bottom w:val="single" w:color="auto" w:sz="6" w:space="0"/>
            </w:tcBorders>
          </w:tcPr>
          <w:p w14:paraId="2874A6D9">
            <w:pPr>
              <w:pStyle w:val="29"/>
              <w:ind w:left="-71" w:leftChars="-34" w:firstLine="360" w:firstLineChars="15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00 62 00 02</w:t>
            </w:r>
          </w:p>
        </w:tc>
        <w:tc>
          <w:tcPr>
            <w:tcW w:w="1920" w:type="dxa"/>
            <w:tcBorders>
              <w:bottom w:val="single" w:color="auto" w:sz="6" w:space="0"/>
              <w:right w:val="single" w:color="auto" w:sz="6" w:space="0"/>
            </w:tcBorders>
          </w:tcPr>
          <w:p w14:paraId="3C689329">
            <w:pPr>
              <w:pStyle w:val="29"/>
              <w:ind w:left="-71" w:leftChars="-34" w:firstLine="240" w:firstLineChars="10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01 01 00 01</w:t>
            </w:r>
          </w:p>
        </w:tc>
      </w:tr>
    </w:tbl>
    <w:p w14:paraId="7E8FE99B">
      <w:pPr>
        <w:pStyle w:val="29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4118CB99">
      <w:pPr>
        <w:pStyle w:val="29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6DF6FA78">
      <w:pPr>
        <w:pStyle w:val="29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23510896">
      <w:pPr>
        <w:pStyle w:val="29"/>
        <w:ind w:left="420"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pH值：00 62 表示十六进制读数pH值，00 02 表示pH数值带2位小数,转换成十进制数值为0.98。</w:t>
      </w:r>
    </w:p>
    <w:p w14:paraId="6611BE2D">
      <w:pPr>
        <w:pStyle w:val="29"/>
        <w:ind w:left="420" w:firstLine="480" w:firstLineChars="200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温度值：01 01 表示十六进制读数温度值，00 01表示温度数值带1位小数，转换成十进制数值为25.7。</w:t>
      </w:r>
    </w:p>
    <w:p w14:paraId="7C0CDB8B">
      <w:pPr>
        <w:pStyle w:val="24"/>
        <w:numPr>
          <w:ilvl w:val="0"/>
          <w:numId w:val="14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校准指令：</w:t>
      </w:r>
    </w:p>
    <w:p w14:paraId="7B07E5AD">
      <w:pPr>
        <w:pStyle w:val="29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零点校准</w:t>
      </w:r>
    </w:p>
    <w:p w14:paraId="7E0982F2">
      <w:pPr>
        <w:pStyle w:val="29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作用：设定传感器的pH零点校准值，零点值以6.86pH标准液为校准标准，示例如下：</w:t>
      </w:r>
    </w:p>
    <w:p w14:paraId="33E7E885">
      <w:pPr>
        <w:pStyle w:val="29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06 10 00 00 00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8C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E8</w:t>
      </w:r>
    </w:p>
    <w:p w14:paraId="1EC9D87E">
      <w:pPr>
        <w:pStyle w:val="29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06 10 00 00 00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8C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E8</w:t>
      </w:r>
    </w:p>
    <w:p w14:paraId="628C4C77">
      <w:pPr>
        <w:pStyle w:val="29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斜率校准</w:t>
      </w:r>
    </w:p>
    <w:p w14:paraId="6ACAAA7B">
      <w:pPr>
        <w:pStyle w:val="29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作用：设定传感器的pH斜率校准值；斜率校准分为高点和低点校准，测得碱性溶液则在高点校准；测得酸性溶液则在低点校准，此处分别以标准液高点9.18pH、标准液低点4.00pH为校准参考，示例如下：</w:t>
      </w:r>
    </w:p>
    <w:p w14:paraId="2D7004BD">
      <w:pPr>
        <w:pStyle w:val="29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高点标准液9.18pH校准：</w:t>
      </w:r>
    </w:p>
    <w:p w14:paraId="193508F3">
      <w:pPr>
        <w:pStyle w:val="29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06 10 04 00 00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CD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29</w:t>
      </w:r>
    </w:p>
    <w:p w14:paraId="5DE4BE38">
      <w:pPr>
        <w:pStyle w:val="29"/>
        <w:ind w:left="420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06 10 04 00 00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CD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29</w:t>
      </w:r>
    </w:p>
    <w:p w14:paraId="72868C3C">
      <w:pPr>
        <w:pStyle w:val="29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低点标准液4.00pH 校准：</w:t>
      </w:r>
    </w:p>
    <w:p w14:paraId="23C3C43B">
      <w:pPr>
        <w:pStyle w:val="29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06 10 02 00 00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2D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28</w:t>
      </w:r>
    </w:p>
    <w:p w14:paraId="36F239F2">
      <w:pPr>
        <w:pStyle w:val="29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06 10 02 00 00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2D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28</w:t>
      </w:r>
    </w:p>
    <w:p w14:paraId="2453337B">
      <w:pPr>
        <w:pStyle w:val="24"/>
        <w:numPr>
          <w:ilvl w:val="0"/>
          <w:numId w:val="14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设置设备ID地址：</w:t>
      </w:r>
    </w:p>
    <w:p w14:paraId="76AF9729">
      <w:pPr>
        <w:pStyle w:val="24"/>
        <w:ind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作用：设置传感器的Modbus设备地址；</w:t>
      </w:r>
    </w:p>
    <w:p w14:paraId="516E66BA">
      <w:pPr>
        <w:pStyle w:val="24"/>
        <w:ind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将传感器地址</w:t>
      </w:r>
      <w:r>
        <w:rPr>
          <w:rFonts w:ascii="Times New Roman" w:hAnsi="Times New Roman"/>
          <w:kern w:val="2"/>
          <w:sz w:val="24"/>
          <w:highlight w:val="none"/>
        </w:rPr>
        <w:t>0</w:t>
      </w:r>
      <w:r>
        <w:rPr>
          <w:rFonts w:hint="eastAsia" w:ascii="Times New Roman" w:hAnsi="Times New Roman"/>
          <w:kern w:val="2"/>
          <w:sz w:val="24"/>
          <w:highlight w:val="none"/>
          <w:lang w:val="en-US" w:eastAsia="zh-CN"/>
        </w:rPr>
        <w:t>3</w:t>
      </w:r>
      <w:r>
        <w:rPr>
          <w:rFonts w:ascii="Times New Roman" w:hAnsi="Times New Roman"/>
          <w:sz w:val="24"/>
          <w:highlight w:val="none"/>
        </w:rPr>
        <w:t>改为</w:t>
      </w:r>
      <w:r>
        <w:rPr>
          <w:rFonts w:ascii="Times New Roman" w:hAnsi="Times New Roman"/>
          <w:kern w:val="2"/>
          <w:sz w:val="24"/>
          <w:highlight w:val="none"/>
        </w:rPr>
        <w:t>01</w:t>
      </w:r>
      <w:r>
        <w:rPr>
          <w:rFonts w:ascii="Times New Roman" w:hAnsi="Times New Roman"/>
          <w:sz w:val="24"/>
          <w:highlight w:val="none"/>
        </w:rPr>
        <w:t>，范例如下：</w:t>
      </w:r>
    </w:p>
    <w:p w14:paraId="21A4F1E6">
      <w:pPr>
        <w:pStyle w:val="24"/>
        <w:ind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请求帧：</w:t>
      </w:r>
      <w:r>
        <w:rPr>
          <w:rFonts w:ascii="Times New Roman" w:hAnsi="Times New Roman"/>
          <w:kern w:val="2"/>
          <w:sz w:val="24"/>
          <w:highlight w:val="none"/>
        </w:rPr>
        <w:t>0</w:t>
      </w:r>
      <w:r>
        <w:rPr>
          <w:rFonts w:hint="eastAsia" w:ascii="Times New Roman" w:hAnsi="Times New Roman"/>
          <w:kern w:val="2"/>
          <w:sz w:val="24"/>
          <w:highlight w:val="none"/>
          <w:lang w:val="en-US" w:eastAsia="zh-CN"/>
        </w:rPr>
        <w:t>3</w:t>
      </w:r>
      <w:r>
        <w:rPr>
          <w:rFonts w:ascii="Times New Roman" w:hAnsi="Times New Roman"/>
          <w:kern w:val="2"/>
          <w:sz w:val="24"/>
          <w:highlight w:val="none"/>
        </w:rPr>
        <w:t xml:space="preserve"> 06 20 02 00 01</w:t>
      </w:r>
      <w:r>
        <w:rPr>
          <w:rFonts w:hint="eastAsia" w:ascii="Times New Roman" w:hAnsi="Times New Roman"/>
          <w:kern w:val="2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kern w:val="2"/>
          <w:sz w:val="24"/>
          <w:highlight w:val="none"/>
        </w:rPr>
        <w:t>E3</w:t>
      </w:r>
      <w:r>
        <w:rPr>
          <w:rFonts w:ascii="Times New Roman" w:hAnsi="Times New Roman"/>
          <w:kern w:val="2"/>
          <w:sz w:val="24"/>
          <w:highlight w:val="none"/>
        </w:rPr>
        <w:t xml:space="preserve"> </w:t>
      </w:r>
      <w:r>
        <w:rPr>
          <w:rFonts w:hint="eastAsia" w:ascii="Times New Roman" w:hAnsi="Times New Roman"/>
          <w:kern w:val="2"/>
          <w:sz w:val="24"/>
          <w:highlight w:val="none"/>
        </w:rPr>
        <w:t>E8</w:t>
      </w:r>
    </w:p>
    <w:p w14:paraId="65D917A8">
      <w:pPr>
        <w:pStyle w:val="24"/>
        <w:ind w:firstLine="48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应答帧：</w:t>
      </w:r>
      <w:r>
        <w:rPr>
          <w:rFonts w:ascii="Times New Roman" w:hAnsi="Times New Roman"/>
          <w:kern w:val="2"/>
          <w:sz w:val="24"/>
          <w:highlight w:val="none"/>
        </w:rPr>
        <w:t>0</w:t>
      </w:r>
      <w:r>
        <w:rPr>
          <w:rFonts w:hint="eastAsia" w:ascii="Times New Roman" w:hAnsi="Times New Roman"/>
          <w:kern w:val="2"/>
          <w:sz w:val="24"/>
          <w:highlight w:val="none"/>
          <w:lang w:val="en-US" w:eastAsia="zh-CN"/>
        </w:rPr>
        <w:t>3</w:t>
      </w:r>
      <w:r>
        <w:rPr>
          <w:rFonts w:ascii="Times New Roman" w:hAnsi="Times New Roman"/>
          <w:kern w:val="2"/>
          <w:sz w:val="24"/>
          <w:highlight w:val="none"/>
        </w:rPr>
        <w:t xml:space="preserve"> 06 20 02 00 01</w:t>
      </w:r>
      <w:r>
        <w:rPr>
          <w:rFonts w:hint="eastAsia" w:ascii="Times New Roman" w:hAnsi="Times New Roman"/>
          <w:kern w:val="2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kern w:val="2"/>
          <w:sz w:val="24"/>
          <w:highlight w:val="none"/>
        </w:rPr>
        <w:t>E3</w:t>
      </w:r>
      <w:r>
        <w:rPr>
          <w:rFonts w:ascii="Times New Roman" w:hAnsi="Times New Roman"/>
          <w:kern w:val="2"/>
          <w:sz w:val="24"/>
          <w:highlight w:val="none"/>
        </w:rPr>
        <w:t xml:space="preserve"> </w:t>
      </w:r>
      <w:r>
        <w:rPr>
          <w:rFonts w:hint="eastAsia" w:ascii="Times New Roman" w:hAnsi="Times New Roman"/>
          <w:kern w:val="2"/>
          <w:sz w:val="24"/>
          <w:highlight w:val="none"/>
        </w:rPr>
        <w:t>E8</w:t>
      </w:r>
    </w:p>
    <w:p w14:paraId="56020ECB">
      <w:pPr>
        <w:pStyle w:val="24"/>
        <w:numPr>
          <w:ilvl w:val="1"/>
          <w:numId w:val="12"/>
        </w:numPr>
        <w:suppressAutoHyphens w:val="0"/>
        <w:spacing w:beforeLines="50" w:afterLines="50"/>
        <w:ind w:firstLineChars="0"/>
        <w:jc w:val="both"/>
        <w:rPr>
          <w:rFonts w:ascii="Times New Roman" w:hAnsi="Times New Roman"/>
          <w:b/>
          <w:kern w:val="0"/>
          <w:szCs w:val="28"/>
          <w:highlight w:val="none"/>
        </w:rPr>
      </w:pPr>
      <w:r>
        <w:rPr>
          <w:rFonts w:ascii="Times New Roman" w:hAnsi="Times New Roman"/>
          <w:b/>
          <w:kern w:val="0"/>
          <w:szCs w:val="28"/>
          <w:highlight w:val="none"/>
        </w:rPr>
        <w:t>错误响应</w:t>
      </w:r>
    </w:p>
    <w:p w14:paraId="75E8C9E0">
      <w:pPr>
        <w:spacing w:afterLines="50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如果传感器不能正确执行上位机命令，则会返回如下格式信息：</w:t>
      </w:r>
    </w:p>
    <w:tbl>
      <w:tblPr>
        <w:tblStyle w:val="13"/>
        <w:tblW w:w="5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4"/>
        <w:gridCol w:w="1312"/>
        <w:gridCol w:w="1444"/>
        <w:gridCol w:w="1260"/>
      </w:tblGrid>
      <w:tr w14:paraId="1652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6D45993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定义</w:t>
            </w:r>
          </w:p>
        </w:tc>
        <w:tc>
          <w:tcPr>
            <w:tcW w:w="944" w:type="dxa"/>
            <w:tcBorders>
              <w:top w:val="single" w:color="auto" w:sz="6" w:space="0"/>
            </w:tcBorders>
            <w:vAlign w:val="center"/>
          </w:tcPr>
          <w:p w14:paraId="59BD521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1312" w:type="dxa"/>
            <w:tcBorders>
              <w:top w:val="single" w:color="auto" w:sz="6" w:space="0"/>
            </w:tcBorders>
            <w:vAlign w:val="center"/>
          </w:tcPr>
          <w:p w14:paraId="09B6ECD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功能码</w:t>
            </w:r>
          </w:p>
        </w:tc>
        <w:tc>
          <w:tcPr>
            <w:tcW w:w="1444" w:type="dxa"/>
            <w:tcBorders>
              <w:top w:val="single" w:color="auto" w:sz="6" w:space="0"/>
            </w:tcBorders>
            <w:vAlign w:val="center"/>
          </w:tcPr>
          <w:p w14:paraId="1179813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CODE</w:t>
            </w:r>
          </w:p>
        </w:tc>
        <w:tc>
          <w:tcPr>
            <w:tcW w:w="1260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4780BC0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CRC校验</w:t>
            </w:r>
          </w:p>
        </w:tc>
      </w:tr>
      <w:tr w14:paraId="6C87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left w:val="single" w:color="auto" w:sz="6" w:space="0"/>
            </w:tcBorders>
            <w:vAlign w:val="center"/>
          </w:tcPr>
          <w:p w14:paraId="608DF2D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数据</w:t>
            </w:r>
          </w:p>
        </w:tc>
        <w:tc>
          <w:tcPr>
            <w:tcW w:w="944" w:type="dxa"/>
            <w:vAlign w:val="center"/>
          </w:tcPr>
          <w:p w14:paraId="14F78DA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ADDR</w:t>
            </w:r>
          </w:p>
        </w:tc>
        <w:tc>
          <w:tcPr>
            <w:tcW w:w="1312" w:type="dxa"/>
            <w:vAlign w:val="center"/>
          </w:tcPr>
          <w:p w14:paraId="4DC0A1E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COM+80H</w:t>
            </w:r>
          </w:p>
        </w:tc>
        <w:tc>
          <w:tcPr>
            <w:tcW w:w="1444" w:type="dxa"/>
            <w:vAlign w:val="center"/>
          </w:tcPr>
          <w:p w14:paraId="64612B2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xx</w:t>
            </w: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1BAC034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CRC 16</w:t>
            </w:r>
          </w:p>
        </w:tc>
      </w:tr>
      <w:tr w14:paraId="5646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546A1D0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字节数</w:t>
            </w:r>
          </w:p>
        </w:tc>
        <w:tc>
          <w:tcPr>
            <w:tcW w:w="944" w:type="dxa"/>
            <w:tcBorders>
              <w:bottom w:val="single" w:color="auto" w:sz="6" w:space="0"/>
            </w:tcBorders>
            <w:vAlign w:val="center"/>
          </w:tcPr>
          <w:p w14:paraId="5E4CFA5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12" w:type="dxa"/>
            <w:tcBorders>
              <w:bottom w:val="single" w:color="auto" w:sz="6" w:space="0"/>
            </w:tcBorders>
            <w:vAlign w:val="center"/>
          </w:tcPr>
          <w:p w14:paraId="08D5E77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44" w:type="dxa"/>
            <w:tcBorders>
              <w:bottom w:val="single" w:color="auto" w:sz="6" w:space="0"/>
            </w:tcBorders>
            <w:vAlign w:val="center"/>
          </w:tcPr>
          <w:p w14:paraId="2A7723B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60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4E0FB5E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2</w:t>
            </w:r>
          </w:p>
        </w:tc>
      </w:tr>
    </w:tbl>
    <w:p w14:paraId="23544C4D">
      <w:pPr>
        <w:pStyle w:val="24"/>
        <w:numPr>
          <w:ilvl w:val="0"/>
          <w:numId w:val="15"/>
        </w:numPr>
        <w:suppressAutoHyphens w:val="0"/>
        <w:spacing w:beforeLines="50"/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CODE：01 – 功能码错</w:t>
      </w:r>
    </w:p>
    <w:p w14:paraId="7C636BA1">
      <w:pPr>
        <w:pStyle w:val="24"/>
        <w:suppressAutoHyphens w:val="0"/>
        <w:ind w:firstLine="1740" w:firstLineChars="725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03 – 数据错</w:t>
      </w:r>
    </w:p>
    <w:p w14:paraId="32D79676">
      <w:pPr>
        <w:pStyle w:val="24"/>
        <w:numPr>
          <w:ilvl w:val="0"/>
          <w:numId w:val="15"/>
        </w:numPr>
        <w:suppressAutoHyphens w:val="0"/>
        <w:spacing w:beforeLines="50"/>
        <w:ind w:left="845" w:firstLineChars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4"/>
          <w:highlight w:val="none"/>
        </w:rPr>
        <w:t>COM：接收到的功能码</w:t>
      </w:r>
    </w:p>
    <w:bookmarkEnd w:id="42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134" w:right="1077" w:bottom="1134" w:left="1077" w:header="1134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B958E">
    <w:pPr>
      <w:pStyle w:val="9"/>
      <w:rPr>
        <w:rFonts w:ascii="Times New Roman" w:hAnsi="Times New Roman" w:eastAsia="宋体" w:cs="Times New Roman"/>
      </w:rPr>
    </w:pPr>
    <w:r>
      <w:rPr>
        <w:rFonts w:hint="eastAsia" w:ascii="Times New Roman" w:hAnsi="Times New Roman" w:eastAsia="宋体" w:cs="Times New Roman"/>
      </w:rPr>
      <w:t xml:space="preserve">凯米斯科技                        </w:t>
    </w:r>
    <w:r>
      <w:rPr>
        <w:rFonts w:hint="eastAsia" w:ascii="Times New Roman" w:hAnsi="Times New Roman" w:eastAsia="宋体" w:cs="Times New Roman"/>
        <w:lang w:val="en-US" w:eastAsia="zh-CN"/>
      </w:rPr>
      <w:t xml:space="preserve">                 </w:t>
    </w:r>
    <w:r>
      <w:rPr>
        <w:rFonts w:hint="eastAsia" w:ascii="Times New Roman" w:hAnsi="Times New Roman" w:eastAsia="宋体" w:cs="Times New Roman"/>
      </w:rPr>
      <w:t xml:space="preserve"> </w:t>
    </w:r>
    <w:r>
      <w:rPr>
        <w:rFonts w:hint="eastAsia" w:ascii="Times New Roman" w:hAnsi="Times New Roman" w:eastAsia="宋体" w:cs="Times New Roman"/>
        <w:lang w:val="en-US" w:eastAsia="zh-CN"/>
      </w:rPr>
      <w:t xml:space="preserve"> </w:t>
    </w:r>
    <w:r>
      <w:rPr>
        <w:rFonts w:ascii="Times New Roman" w:hAnsi="Times New Roman" w:eastAsia="宋体" w:cs="Times New Roman"/>
      </w:rPr>
      <w:fldChar w:fldCharType="begin"/>
    </w:r>
    <w:r>
      <w:rPr>
        <w:rFonts w:ascii="Times New Roman" w:hAnsi="Times New Roman" w:eastAsia="宋体" w:cs="Times New Roman"/>
      </w:rPr>
      <w:instrText xml:space="preserve"> PAGE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</w:rPr>
      <w:t>4</w:t>
    </w:r>
    <w:r>
      <w:rPr>
        <w:rFonts w:ascii="Times New Roman" w:hAnsi="Times New Roman" w:eastAsia="宋体" w:cs="Times New Roman"/>
      </w:rPr>
      <w:fldChar w:fldCharType="end"/>
    </w:r>
    <w:r>
      <w:rPr>
        <w:rFonts w:ascii="Times New Roman" w:hAnsi="Times New Roman" w:eastAsia="宋体" w:cs="Times New Roman"/>
      </w:rPr>
      <w:t xml:space="preserve"> / </w:t>
    </w:r>
    <w:r>
      <w:rPr>
        <w:rFonts w:ascii="Times New Roman" w:hAnsi="Times New Roman" w:eastAsia="宋体" w:cs="Times New Roman"/>
      </w:rPr>
      <w:fldChar w:fldCharType="begin"/>
    </w:r>
    <w:r>
      <w:rPr>
        <w:rFonts w:ascii="Times New Roman" w:hAnsi="Times New Roman" w:eastAsia="宋体" w:cs="Times New Roman"/>
      </w:rPr>
      <w:instrText xml:space="preserve"> NUMPAGES 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</w:rPr>
      <w:t>10</w:t>
    </w:r>
    <w:r>
      <w:rPr>
        <w:rFonts w:ascii="Times New Roman" w:hAnsi="Times New Roman" w:eastAsia="宋体" w:cs="Times New Roman"/>
      </w:rPr>
      <w:fldChar w:fldCharType="end"/>
    </w:r>
  </w:p>
  <w:p w14:paraId="2D58A849">
    <w:pPr>
      <w:rPr>
        <w:rFonts w:ascii="Times New Roman" w:hAnsi="Times New Roman" w:eastAsia="宋体" w:cs="Times New Roman"/>
        <w:sz w:val="18"/>
        <w:szCs w:val="18"/>
      </w:rPr>
    </w:pPr>
    <w:r>
      <w:fldChar w:fldCharType="begin"/>
    </w:r>
    <w:r>
      <w:instrText xml:space="preserve"> HYPERLINK "http://www.chemins-tech.com" </w:instrText>
    </w:r>
    <w:r>
      <w:fldChar w:fldCharType="separate"/>
    </w:r>
    <w:r>
      <w:rPr>
        <w:rStyle w:val="16"/>
        <w:rFonts w:ascii="Times New Roman" w:hAnsi="Times New Roman" w:eastAsia="宋体" w:cs="Times New Roman"/>
        <w:sz w:val="18"/>
        <w:szCs w:val="18"/>
      </w:rPr>
      <w:t>www.chemins-tech.com</w:t>
    </w:r>
    <w:r>
      <w:rPr>
        <w:rStyle w:val="16"/>
        <w:rFonts w:ascii="Times New Roman" w:hAnsi="Times New Roman" w:eastAsia="宋体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6474F">
    <w:pPr>
      <w:pStyle w:val="9"/>
      <w:jc w:val="both"/>
    </w:pPr>
    <w:r>
      <w:rPr>
        <w:rFonts w:hint="eastAsia"/>
      </w:rPr>
      <w:t xml:space="preserve">烟台凯米斯仪器有限公司  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 </w:instrText>
    </w:r>
    <w:r>
      <w:fldChar w:fldCharType="separate"/>
    </w:r>
    <w:r>
      <w:t>10</w:t>
    </w:r>
    <w:r>
      <w:fldChar w:fldCharType="end"/>
    </w:r>
  </w:p>
  <w:p w14:paraId="7CE80731">
    <w:r>
      <w:fldChar w:fldCharType="begin"/>
    </w:r>
    <w:r>
      <w:instrText xml:space="preserve"> HYPERLINK "http://www.chemins-tech.com" </w:instrText>
    </w:r>
    <w:r>
      <w:fldChar w:fldCharType="separate"/>
    </w:r>
    <w:r>
      <w:rPr>
        <w:rStyle w:val="16"/>
        <w:rFonts w:hint="eastAsia"/>
      </w:rPr>
      <w:t>www.chemins-tech.com</w:t>
    </w:r>
    <w:r>
      <w:rPr>
        <w:rStyle w:val="16"/>
        <w:rFonts w:hint="eastAsi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43716">
    <w:pPr>
      <w:pStyle w:val="10"/>
      <w:ind w:firstLine="18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-257810</wp:posOffset>
          </wp:positionV>
          <wp:extent cx="1700530" cy="405130"/>
          <wp:effectExtent l="19050" t="0" r="0" b="0"/>
          <wp:wrapNone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213" cy="4048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5465">
    <w:pPr>
      <w:pStyle w:val="10"/>
      <w:ind w:firstLine="18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-257810</wp:posOffset>
          </wp:positionV>
          <wp:extent cx="1699895" cy="405130"/>
          <wp:effectExtent l="19050" t="0" r="0" b="0"/>
          <wp:wrapNone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212" cy="4048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3B2151"/>
    <w:multiLevelType w:val="singleLevel"/>
    <w:tmpl w:val="E53B215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C222AF3"/>
    <w:multiLevelType w:val="multilevel"/>
    <w:tmpl w:val="0C222AF3"/>
    <w:lvl w:ilvl="0" w:tentative="0">
      <w:start w:val="1"/>
      <w:numFmt w:val="lowerLetter"/>
      <w:lvlText w:val="%1)"/>
      <w:lvlJc w:val="left"/>
      <w:pPr>
        <w:ind w:left="845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0C606DCC"/>
    <w:multiLevelType w:val="multilevel"/>
    <w:tmpl w:val="0C606DC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0D7149FF"/>
    <w:multiLevelType w:val="multilevel"/>
    <w:tmpl w:val="0D7149FF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4A0D64"/>
    <w:multiLevelType w:val="multilevel"/>
    <w:tmpl w:val="234A0D64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2AC31F8"/>
    <w:multiLevelType w:val="multilevel"/>
    <w:tmpl w:val="32AC31F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>
    <w:nsid w:val="3F1C60D7"/>
    <w:multiLevelType w:val="multilevel"/>
    <w:tmpl w:val="3F1C60D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47BA618B"/>
    <w:multiLevelType w:val="multilevel"/>
    <w:tmpl w:val="47BA618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86E5837"/>
    <w:multiLevelType w:val="multilevel"/>
    <w:tmpl w:val="486E5837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9">
    <w:nsid w:val="55B53A7C"/>
    <w:multiLevelType w:val="multilevel"/>
    <w:tmpl w:val="55B53A7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28"/>
        <w:szCs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">
    <w:nsid w:val="57639DE2"/>
    <w:multiLevelType w:val="multilevel"/>
    <w:tmpl w:val="57639DE2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 w:asciiTheme="majorEastAsia" w:hAnsiTheme="majorEastAsia" w:eastAsiaTheme="majorEastAsia"/>
      </w:rPr>
    </w:lvl>
    <w:lvl w:ilvl="1" w:tentative="0">
      <w:start w:val="1"/>
      <w:numFmt w:val="decimal"/>
      <w:lvlText w:val="%2."/>
      <w:lvlJc w:val="left"/>
      <w:pPr>
        <w:ind w:left="992" w:hanging="567"/>
      </w:pPr>
      <w:rPr>
        <w:rFonts w:hint="default" w:ascii="Times New Roman" w:hAnsi="Times New Roman" w:eastAsia="仿宋" w:cs="Times New Roman"/>
        <w:b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>
    <w:nsid w:val="5839121F"/>
    <w:multiLevelType w:val="singleLevel"/>
    <w:tmpl w:val="5839121F"/>
    <w:lvl w:ilvl="0" w:tentative="0">
      <w:start w:val="1"/>
      <w:numFmt w:val="lowerLetter"/>
      <w:suff w:val="nothing"/>
      <w:lvlText w:val="%1）"/>
      <w:lvlJc w:val="left"/>
      <w:rPr>
        <w:rFonts w:hint="default" w:ascii="Times New Roman" w:hAnsi="Times New Roman" w:cs="Times New Roman"/>
      </w:rPr>
    </w:lvl>
  </w:abstractNum>
  <w:abstractNum w:abstractNumId="12">
    <w:nsid w:val="7167406C"/>
    <w:multiLevelType w:val="multilevel"/>
    <w:tmpl w:val="7167406C"/>
    <w:lvl w:ilvl="0" w:tentative="0">
      <w:start w:val="1"/>
      <w:numFmt w:val="lowerLetter"/>
      <w:lvlText w:val="%1)"/>
      <w:lvlJc w:val="left"/>
      <w:pPr>
        <w:ind w:left="840" w:hanging="420"/>
      </w:pPr>
      <w:rPr>
        <w:rFonts w:hint="default" w:ascii="Times New Roman" w:hAnsi="Times New Roman" w:cs="Times New Roman" w:eastAsiaTheme="major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2E62309"/>
    <w:multiLevelType w:val="multilevel"/>
    <w:tmpl w:val="72E62309"/>
    <w:lvl w:ilvl="0" w:tentative="0">
      <w:start w:val="1"/>
      <w:numFmt w:val="lowerLetter"/>
      <w:lvlText w:val="%1)"/>
      <w:lvlJc w:val="left"/>
      <w:pPr>
        <w:ind w:left="846" w:hanging="420"/>
      </w:pPr>
      <w:rPr>
        <w:rFonts w:hint="default" w:ascii="Times New Roman" w:hAnsi="Times New Roman" w:eastAsia="宋体" w:cs="Times New Roman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4">
    <w:nsid w:val="7E3C15AC"/>
    <w:multiLevelType w:val="multilevel"/>
    <w:tmpl w:val="7E3C15AC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14"/>
  </w:num>
  <w:num w:numId="12">
    <w:abstractNumId w:val="10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YjJkMGIyYmZkOTBlMzJmNzk5ZTJmZTczMTFmYzEifQ=="/>
  </w:docVars>
  <w:rsids>
    <w:rsidRoot w:val="005B7FF9"/>
    <w:rsid w:val="00001C04"/>
    <w:rsid w:val="000254D6"/>
    <w:rsid w:val="00034A31"/>
    <w:rsid w:val="00036DA7"/>
    <w:rsid w:val="00040AA9"/>
    <w:rsid w:val="00041858"/>
    <w:rsid w:val="000632B2"/>
    <w:rsid w:val="0007680F"/>
    <w:rsid w:val="00076C19"/>
    <w:rsid w:val="0009081A"/>
    <w:rsid w:val="00090D83"/>
    <w:rsid w:val="000956D1"/>
    <w:rsid w:val="000969F4"/>
    <w:rsid w:val="000A0DFF"/>
    <w:rsid w:val="000A37B2"/>
    <w:rsid w:val="000A71F6"/>
    <w:rsid w:val="000B4CAF"/>
    <w:rsid w:val="000C1FF2"/>
    <w:rsid w:val="000D6B71"/>
    <w:rsid w:val="000E0360"/>
    <w:rsid w:val="000E6E45"/>
    <w:rsid w:val="000E7DE2"/>
    <w:rsid w:val="000F2F75"/>
    <w:rsid w:val="000F4603"/>
    <w:rsid w:val="001015D8"/>
    <w:rsid w:val="0011169C"/>
    <w:rsid w:val="00113597"/>
    <w:rsid w:val="00115BE5"/>
    <w:rsid w:val="00117142"/>
    <w:rsid w:val="00120652"/>
    <w:rsid w:val="00121B45"/>
    <w:rsid w:val="0012485C"/>
    <w:rsid w:val="00134A9E"/>
    <w:rsid w:val="0013616C"/>
    <w:rsid w:val="00141E17"/>
    <w:rsid w:val="00153B60"/>
    <w:rsid w:val="00162EB4"/>
    <w:rsid w:val="00177132"/>
    <w:rsid w:val="00194493"/>
    <w:rsid w:val="001A3E0D"/>
    <w:rsid w:val="001A4BFA"/>
    <w:rsid w:val="001A5F7F"/>
    <w:rsid w:val="001B46DC"/>
    <w:rsid w:val="001D2FEB"/>
    <w:rsid w:val="001D3AE4"/>
    <w:rsid w:val="001E49FD"/>
    <w:rsid w:val="001E528E"/>
    <w:rsid w:val="0020360A"/>
    <w:rsid w:val="00221C8A"/>
    <w:rsid w:val="00222BB7"/>
    <w:rsid w:val="00223B06"/>
    <w:rsid w:val="00250BA6"/>
    <w:rsid w:val="00251233"/>
    <w:rsid w:val="002530C3"/>
    <w:rsid w:val="002611A1"/>
    <w:rsid w:val="002678B1"/>
    <w:rsid w:val="00267C64"/>
    <w:rsid w:val="0027779F"/>
    <w:rsid w:val="002947D0"/>
    <w:rsid w:val="002A22D8"/>
    <w:rsid w:val="002A462D"/>
    <w:rsid w:val="002B311B"/>
    <w:rsid w:val="002B4E50"/>
    <w:rsid w:val="002C4C5A"/>
    <w:rsid w:val="002D36DF"/>
    <w:rsid w:val="002D7C8D"/>
    <w:rsid w:val="002E4531"/>
    <w:rsid w:val="002F2497"/>
    <w:rsid w:val="002F7462"/>
    <w:rsid w:val="002F7B3D"/>
    <w:rsid w:val="00312E48"/>
    <w:rsid w:val="003134CF"/>
    <w:rsid w:val="00313978"/>
    <w:rsid w:val="0031582A"/>
    <w:rsid w:val="00323459"/>
    <w:rsid w:val="00323E6F"/>
    <w:rsid w:val="0034543B"/>
    <w:rsid w:val="0037052D"/>
    <w:rsid w:val="00372EDE"/>
    <w:rsid w:val="003804A9"/>
    <w:rsid w:val="00380A8C"/>
    <w:rsid w:val="00382A71"/>
    <w:rsid w:val="00385FCB"/>
    <w:rsid w:val="00387593"/>
    <w:rsid w:val="0039068C"/>
    <w:rsid w:val="0039776E"/>
    <w:rsid w:val="003A4BB0"/>
    <w:rsid w:val="003A4CEE"/>
    <w:rsid w:val="003A7505"/>
    <w:rsid w:val="003D1F32"/>
    <w:rsid w:val="003D2CE1"/>
    <w:rsid w:val="003D41C2"/>
    <w:rsid w:val="003E46F1"/>
    <w:rsid w:val="003F0D79"/>
    <w:rsid w:val="003F293B"/>
    <w:rsid w:val="004103F6"/>
    <w:rsid w:val="00412AAF"/>
    <w:rsid w:val="00444CCE"/>
    <w:rsid w:val="00456C12"/>
    <w:rsid w:val="00461B1E"/>
    <w:rsid w:val="00467500"/>
    <w:rsid w:val="004679AA"/>
    <w:rsid w:val="0047049E"/>
    <w:rsid w:val="00480FF7"/>
    <w:rsid w:val="004819B1"/>
    <w:rsid w:val="00487504"/>
    <w:rsid w:val="00490755"/>
    <w:rsid w:val="00495F7C"/>
    <w:rsid w:val="004A10EA"/>
    <w:rsid w:val="004A325E"/>
    <w:rsid w:val="004A7C46"/>
    <w:rsid w:val="004B7EB4"/>
    <w:rsid w:val="004C0F8D"/>
    <w:rsid w:val="004D3FDD"/>
    <w:rsid w:val="004E2055"/>
    <w:rsid w:val="004F2A32"/>
    <w:rsid w:val="005073E6"/>
    <w:rsid w:val="005121AB"/>
    <w:rsid w:val="00517CA7"/>
    <w:rsid w:val="0052462A"/>
    <w:rsid w:val="0054239C"/>
    <w:rsid w:val="005438BD"/>
    <w:rsid w:val="0054409F"/>
    <w:rsid w:val="00561630"/>
    <w:rsid w:val="00563330"/>
    <w:rsid w:val="00573200"/>
    <w:rsid w:val="005738B6"/>
    <w:rsid w:val="00573914"/>
    <w:rsid w:val="005749EA"/>
    <w:rsid w:val="00583179"/>
    <w:rsid w:val="00584D69"/>
    <w:rsid w:val="00585249"/>
    <w:rsid w:val="00587A1B"/>
    <w:rsid w:val="0059536B"/>
    <w:rsid w:val="005A4321"/>
    <w:rsid w:val="005A603D"/>
    <w:rsid w:val="005A62A5"/>
    <w:rsid w:val="005B69D6"/>
    <w:rsid w:val="005B7FF9"/>
    <w:rsid w:val="005D6AF3"/>
    <w:rsid w:val="005E1C05"/>
    <w:rsid w:val="005F5D11"/>
    <w:rsid w:val="00604479"/>
    <w:rsid w:val="006103F1"/>
    <w:rsid w:val="00620E38"/>
    <w:rsid w:val="00623C59"/>
    <w:rsid w:val="00624DD0"/>
    <w:rsid w:val="006663C7"/>
    <w:rsid w:val="00667988"/>
    <w:rsid w:val="00670FE4"/>
    <w:rsid w:val="00681856"/>
    <w:rsid w:val="00681AB4"/>
    <w:rsid w:val="00686999"/>
    <w:rsid w:val="0069344A"/>
    <w:rsid w:val="00695461"/>
    <w:rsid w:val="00697D2A"/>
    <w:rsid w:val="006A0FED"/>
    <w:rsid w:val="006B0C4C"/>
    <w:rsid w:val="006C6E92"/>
    <w:rsid w:val="006D64BB"/>
    <w:rsid w:val="006E3D72"/>
    <w:rsid w:val="006F4653"/>
    <w:rsid w:val="00702CC8"/>
    <w:rsid w:val="00712FD2"/>
    <w:rsid w:val="00716B4C"/>
    <w:rsid w:val="007319E1"/>
    <w:rsid w:val="0073361D"/>
    <w:rsid w:val="007405B4"/>
    <w:rsid w:val="00740CC7"/>
    <w:rsid w:val="007438D2"/>
    <w:rsid w:val="007546F5"/>
    <w:rsid w:val="00757021"/>
    <w:rsid w:val="00763F78"/>
    <w:rsid w:val="00771640"/>
    <w:rsid w:val="00776E98"/>
    <w:rsid w:val="007A052F"/>
    <w:rsid w:val="007A061C"/>
    <w:rsid w:val="007A152C"/>
    <w:rsid w:val="007A459B"/>
    <w:rsid w:val="007B0EF9"/>
    <w:rsid w:val="007B49E0"/>
    <w:rsid w:val="007B698D"/>
    <w:rsid w:val="007D2DBD"/>
    <w:rsid w:val="007D6C2F"/>
    <w:rsid w:val="007E374A"/>
    <w:rsid w:val="00821333"/>
    <w:rsid w:val="00824FCF"/>
    <w:rsid w:val="00833D9E"/>
    <w:rsid w:val="00844A8E"/>
    <w:rsid w:val="0084680E"/>
    <w:rsid w:val="008473E4"/>
    <w:rsid w:val="00852BEF"/>
    <w:rsid w:val="00866EB3"/>
    <w:rsid w:val="00872F4B"/>
    <w:rsid w:val="00890988"/>
    <w:rsid w:val="00890C3D"/>
    <w:rsid w:val="008A02BE"/>
    <w:rsid w:val="008A6ED8"/>
    <w:rsid w:val="008B2975"/>
    <w:rsid w:val="008B331C"/>
    <w:rsid w:val="008C7FC4"/>
    <w:rsid w:val="008D07FD"/>
    <w:rsid w:val="008D3651"/>
    <w:rsid w:val="008E30E1"/>
    <w:rsid w:val="008E6EDA"/>
    <w:rsid w:val="008E781F"/>
    <w:rsid w:val="008F0A89"/>
    <w:rsid w:val="008F137F"/>
    <w:rsid w:val="009004FF"/>
    <w:rsid w:val="00904717"/>
    <w:rsid w:val="00905552"/>
    <w:rsid w:val="009061FA"/>
    <w:rsid w:val="00914519"/>
    <w:rsid w:val="00915C93"/>
    <w:rsid w:val="0091726C"/>
    <w:rsid w:val="009208B3"/>
    <w:rsid w:val="00925163"/>
    <w:rsid w:val="00942E11"/>
    <w:rsid w:val="00952199"/>
    <w:rsid w:val="0095662F"/>
    <w:rsid w:val="009661B9"/>
    <w:rsid w:val="009718AD"/>
    <w:rsid w:val="00971E41"/>
    <w:rsid w:val="00973BA5"/>
    <w:rsid w:val="00975A29"/>
    <w:rsid w:val="00976A3B"/>
    <w:rsid w:val="00987602"/>
    <w:rsid w:val="009954B6"/>
    <w:rsid w:val="0099681C"/>
    <w:rsid w:val="009A072E"/>
    <w:rsid w:val="009A42CB"/>
    <w:rsid w:val="009A7BD6"/>
    <w:rsid w:val="009B5A5B"/>
    <w:rsid w:val="009C18D0"/>
    <w:rsid w:val="009D21CB"/>
    <w:rsid w:val="009E6F1B"/>
    <w:rsid w:val="009E7A8E"/>
    <w:rsid w:val="009F129E"/>
    <w:rsid w:val="009F1AB9"/>
    <w:rsid w:val="009F6825"/>
    <w:rsid w:val="00A06E27"/>
    <w:rsid w:val="00A125E8"/>
    <w:rsid w:val="00A155DC"/>
    <w:rsid w:val="00A17517"/>
    <w:rsid w:val="00A2230C"/>
    <w:rsid w:val="00A2575D"/>
    <w:rsid w:val="00A31D2E"/>
    <w:rsid w:val="00A42742"/>
    <w:rsid w:val="00A44B61"/>
    <w:rsid w:val="00A51B43"/>
    <w:rsid w:val="00A71288"/>
    <w:rsid w:val="00A815C6"/>
    <w:rsid w:val="00A94BC6"/>
    <w:rsid w:val="00AA23D6"/>
    <w:rsid w:val="00AA335C"/>
    <w:rsid w:val="00AA641D"/>
    <w:rsid w:val="00AB3BED"/>
    <w:rsid w:val="00AC02E1"/>
    <w:rsid w:val="00AC3CDB"/>
    <w:rsid w:val="00AC3F7F"/>
    <w:rsid w:val="00AC4C1A"/>
    <w:rsid w:val="00AD5273"/>
    <w:rsid w:val="00AD5BE6"/>
    <w:rsid w:val="00AD5E3D"/>
    <w:rsid w:val="00AD778A"/>
    <w:rsid w:val="00AE237B"/>
    <w:rsid w:val="00AF0D2E"/>
    <w:rsid w:val="00AF0F99"/>
    <w:rsid w:val="00AF62A7"/>
    <w:rsid w:val="00B053CC"/>
    <w:rsid w:val="00B07F47"/>
    <w:rsid w:val="00B07FC9"/>
    <w:rsid w:val="00B11852"/>
    <w:rsid w:val="00B27A33"/>
    <w:rsid w:val="00B36119"/>
    <w:rsid w:val="00B418A4"/>
    <w:rsid w:val="00B4678D"/>
    <w:rsid w:val="00B476A0"/>
    <w:rsid w:val="00B51266"/>
    <w:rsid w:val="00B64029"/>
    <w:rsid w:val="00B6442F"/>
    <w:rsid w:val="00B66656"/>
    <w:rsid w:val="00B767B2"/>
    <w:rsid w:val="00B961E8"/>
    <w:rsid w:val="00B97269"/>
    <w:rsid w:val="00BA7094"/>
    <w:rsid w:val="00BA7EBC"/>
    <w:rsid w:val="00BC40A3"/>
    <w:rsid w:val="00BC7755"/>
    <w:rsid w:val="00BD136F"/>
    <w:rsid w:val="00BE3295"/>
    <w:rsid w:val="00C0111E"/>
    <w:rsid w:val="00C01B58"/>
    <w:rsid w:val="00C17E76"/>
    <w:rsid w:val="00C33534"/>
    <w:rsid w:val="00C44364"/>
    <w:rsid w:val="00C45DE9"/>
    <w:rsid w:val="00C47D64"/>
    <w:rsid w:val="00C5513E"/>
    <w:rsid w:val="00C568C8"/>
    <w:rsid w:val="00C6025F"/>
    <w:rsid w:val="00C64709"/>
    <w:rsid w:val="00C65C37"/>
    <w:rsid w:val="00C81095"/>
    <w:rsid w:val="00C87409"/>
    <w:rsid w:val="00C94B1F"/>
    <w:rsid w:val="00C97114"/>
    <w:rsid w:val="00CA783C"/>
    <w:rsid w:val="00CB6478"/>
    <w:rsid w:val="00CC0BAE"/>
    <w:rsid w:val="00CC4E1A"/>
    <w:rsid w:val="00CC4E59"/>
    <w:rsid w:val="00CD1CC2"/>
    <w:rsid w:val="00CD3310"/>
    <w:rsid w:val="00CD4160"/>
    <w:rsid w:val="00CD49D2"/>
    <w:rsid w:val="00CE00C4"/>
    <w:rsid w:val="00CE4604"/>
    <w:rsid w:val="00CF6F15"/>
    <w:rsid w:val="00D10589"/>
    <w:rsid w:val="00D370B2"/>
    <w:rsid w:val="00D57EA9"/>
    <w:rsid w:val="00D62982"/>
    <w:rsid w:val="00D62E6E"/>
    <w:rsid w:val="00D64AC9"/>
    <w:rsid w:val="00D65EE3"/>
    <w:rsid w:val="00D81D5A"/>
    <w:rsid w:val="00D84BDE"/>
    <w:rsid w:val="00D84E01"/>
    <w:rsid w:val="00D91566"/>
    <w:rsid w:val="00D9168A"/>
    <w:rsid w:val="00DA04B7"/>
    <w:rsid w:val="00DA0A72"/>
    <w:rsid w:val="00DB3478"/>
    <w:rsid w:val="00DB49E5"/>
    <w:rsid w:val="00DB679F"/>
    <w:rsid w:val="00DC2A19"/>
    <w:rsid w:val="00DC6368"/>
    <w:rsid w:val="00DD13FE"/>
    <w:rsid w:val="00DE086D"/>
    <w:rsid w:val="00DE14C2"/>
    <w:rsid w:val="00DE305E"/>
    <w:rsid w:val="00DF21F4"/>
    <w:rsid w:val="00DF4BE8"/>
    <w:rsid w:val="00DF6B87"/>
    <w:rsid w:val="00E11B49"/>
    <w:rsid w:val="00E1443D"/>
    <w:rsid w:val="00E23414"/>
    <w:rsid w:val="00E255BB"/>
    <w:rsid w:val="00E33AC6"/>
    <w:rsid w:val="00E340B3"/>
    <w:rsid w:val="00E34C9B"/>
    <w:rsid w:val="00E43EE1"/>
    <w:rsid w:val="00E45839"/>
    <w:rsid w:val="00E5384D"/>
    <w:rsid w:val="00E6419F"/>
    <w:rsid w:val="00E828C9"/>
    <w:rsid w:val="00E842F3"/>
    <w:rsid w:val="00E879AA"/>
    <w:rsid w:val="00E96542"/>
    <w:rsid w:val="00EA3599"/>
    <w:rsid w:val="00EA5843"/>
    <w:rsid w:val="00EA5B03"/>
    <w:rsid w:val="00EA61CB"/>
    <w:rsid w:val="00EA6F77"/>
    <w:rsid w:val="00EB2A8B"/>
    <w:rsid w:val="00EC0BBA"/>
    <w:rsid w:val="00EC1923"/>
    <w:rsid w:val="00EE039D"/>
    <w:rsid w:val="00EE0D2D"/>
    <w:rsid w:val="00EE435E"/>
    <w:rsid w:val="00EF3B6A"/>
    <w:rsid w:val="00EF7AA8"/>
    <w:rsid w:val="00F010C6"/>
    <w:rsid w:val="00F066BA"/>
    <w:rsid w:val="00F14F1C"/>
    <w:rsid w:val="00F1559A"/>
    <w:rsid w:val="00F20010"/>
    <w:rsid w:val="00F20104"/>
    <w:rsid w:val="00F26D25"/>
    <w:rsid w:val="00F36CB0"/>
    <w:rsid w:val="00F449B9"/>
    <w:rsid w:val="00F451D1"/>
    <w:rsid w:val="00F5451E"/>
    <w:rsid w:val="00F66D01"/>
    <w:rsid w:val="00F72D3E"/>
    <w:rsid w:val="00F843DF"/>
    <w:rsid w:val="00F97CAB"/>
    <w:rsid w:val="00FA7256"/>
    <w:rsid w:val="00FB392D"/>
    <w:rsid w:val="00FB3DCD"/>
    <w:rsid w:val="00FC39F8"/>
    <w:rsid w:val="00FD2DDC"/>
    <w:rsid w:val="00FD2E49"/>
    <w:rsid w:val="00FD57EB"/>
    <w:rsid w:val="00FE7F3F"/>
    <w:rsid w:val="00FF38BF"/>
    <w:rsid w:val="00FF42D8"/>
    <w:rsid w:val="00FF5004"/>
    <w:rsid w:val="02536246"/>
    <w:rsid w:val="06E85062"/>
    <w:rsid w:val="071F133C"/>
    <w:rsid w:val="07597EEF"/>
    <w:rsid w:val="07824687"/>
    <w:rsid w:val="07BB61EB"/>
    <w:rsid w:val="07CA5E38"/>
    <w:rsid w:val="07EC5A78"/>
    <w:rsid w:val="08E70B1C"/>
    <w:rsid w:val="090C477E"/>
    <w:rsid w:val="096518FC"/>
    <w:rsid w:val="09740E6F"/>
    <w:rsid w:val="0AA50DE0"/>
    <w:rsid w:val="0C4C2987"/>
    <w:rsid w:val="0E7F63BB"/>
    <w:rsid w:val="0FDD3938"/>
    <w:rsid w:val="122D3B39"/>
    <w:rsid w:val="17B651D9"/>
    <w:rsid w:val="1A6740D0"/>
    <w:rsid w:val="1D5F5F7E"/>
    <w:rsid w:val="1E242B62"/>
    <w:rsid w:val="1F0C14DF"/>
    <w:rsid w:val="1F1C0E4B"/>
    <w:rsid w:val="245E34E2"/>
    <w:rsid w:val="24B56441"/>
    <w:rsid w:val="24D60AF6"/>
    <w:rsid w:val="25505403"/>
    <w:rsid w:val="25E12F19"/>
    <w:rsid w:val="281A500A"/>
    <w:rsid w:val="28C409A9"/>
    <w:rsid w:val="2A570F5C"/>
    <w:rsid w:val="2B3D3EC8"/>
    <w:rsid w:val="2C037490"/>
    <w:rsid w:val="2C253377"/>
    <w:rsid w:val="2F864C2D"/>
    <w:rsid w:val="2FCC24CB"/>
    <w:rsid w:val="307F3132"/>
    <w:rsid w:val="310B7908"/>
    <w:rsid w:val="339F5ECB"/>
    <w:rsid w:val="341C6018"/>
    <w:rsid w:val="35DB0FAC"/>
    <w:rsid w:val="36081443"/>
    <w:rsid w:val="386C468A"/>
    <w:rsid w:val="39AC5BCA"/>
    <w:rsid w:val="3B0971F2"/>
    <w:rsid w:val="3CC613D9"/>
    <w:rsid w:val="3D930FA0"/>
    <w:rsid w:val="3ED44F40"/>
    <w:rsid w:val="3EDC7BAF"/>
    <w:rsid w:val="41526B64"/>
    <w:rsid w:val="42BB4B86"/>
    <w:rsid w:val="43A63CFB"/>
    <w:rsid w:val="455C333D"/>
    <w:rsid w:val="48065E58"/>
    <w:rsid w:val="4929106F"/>
    <w:rsid w:val="4AF85884"/>
    <w:rsid w:val="4BEC4B9B"/>
    <w:rsid w:val="4CFE291C"/>
    <w:rsid w:val="4D794AE3"/>
    <w:rsid w:val="520B290F"/>
    <w:rsid w:val="53BB5E33"/>
    <w:rsid w:val="56004AC2"/>
    <w:rsid w:val="585B29E0"/>
    <w:rsid w:val="5A8C35D9"/>
    <w:rsid w:val="5CE826C7"/>
    <w:rsid w:val="5D426B04"/>
    <w:rsid w:val="61D56487"/>
    <w:rsid w:val="63BA4B4F"/>
    <w:rsid w:val="64EE2F7F"/>
    <w:rsid w:val="66D60D84"/>
    <w:rsid w:val="66EA5D06"/>
    <w:rsid w:val="6BBC5BA3"/>
    <w:rsid w:val="6D961799"/>
    <w:rsid w:val="6E0F4DA5"/>
    <w:rsid w:val="707120B4"/>
    <w:rsid w:val="71BC26D0"/>
    <w:rsid w:val="764612E4"/>
    <w:rsid w:val="78272164"/>
    <w:rsid w:val="79BD7614"/>
    <w:rsid w:val="97FFB291"/>
    <w:rsid w:val="AFFF31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3"/>
    <w:autoRedefine/>
    <w:semiHidden/>
    <w:qFormat/>
    <w:uiPriority w:val="0"/>
    <w:pPr>
      <w:suppressAutoHyphens/>
      <w:spacing w:after="120"/>
      <w:jc w:val="left"/>
    </w:pPr>
    <w:rPr>
      <w:rFonts w:ascii="Times" w:hAnsi="Times" w:eastAsia="宋体" w:cs="Times New Roman"/>
      <w:kern w:val="1"/>
      <w:sz w:val="28"/>
      <w:szCs w:val="24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Date"/>
    <w:basedOn w:val="1"/>
    <w:next w:val="1"/>
    <w:autoRedefine/>
    <w:unhideWhenUsed/>
    <w:qFormat/>
    <w:uiPriority w:val="99"/>
    <w:pPr>
      <w:adjustRightInd w:val="0"/>
      <w:spacing w:line="312" w:lineRule="atLeast"/>
      <w:textAlignment w:val="baseline"/>
    </w:pPr>
    <w:rPr>
      <w:rFonts w:ascii="Times New Roman" w:hAnsi="Times New Roman" w:eastAsia="宋体" w:cs="Times New Roman"/>
      <w:szCs w:val="20"/>
    </w:rPr>
  </w:style>
  <w:style w:type="paragraph" w:styleId="8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</w:style>
  <w:style w:type="paragraph" w:styleId="12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4">
    <w:name w:val="Table Grid"/>
    <w:basedOn w:val="1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5"/>
    <w:link w:val="10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批注框文本 Char"/>
    <w:basedOn w:val="15"/>
    <w:link w:val="8"/>
    <w:autoRedefine/>
    <w:semiHidden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2 Char"/>
    <w:basedOn w:val="15"/>
    <w:link w:val="3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正文文本 Char"/>
    <w:basedOn w:val="15"/>
    <w:link w:val="5"/>
    <w:autoRedefine/>
    <w:semiHidden/>
    <w:qFormat/>
    <w:uiPriority w:val="0"/>
    <w:rPr>
      <w:rFonts w:ascii="Times" w:hAnsi="Times" w:eastAsia="宋体" w:cs="Times New Roman"/>
      <w:kern w:val="1"/>
      <w:sz w:val="28"/>
      <w:szCs w:val="24"/>
    </w:rPr>
  </w:style>
  <w:style w:type="paragraph" w:customStyle="1" w:styleId="24">
    <w:name w:val="列出段落1"/>
    <w:basedOn w:val="1"/>
    <w:autoRedefine/>
    <w:qFormat/>
    <w:uiPriority w:val="34"/>
    <w:pPr>
      <w:suppressAutoHyphens/>
      <w:ind w:firstLine="420" w:firstLineChars="200"/>
      <w:jc w:val="left"/>
    </w:pPr>
    <w:rPr>
      <w:rFonts w:ascii="Times" w:hAnsi="Times" w:eastAsia="宋体" w:cs="Times New Roman"/>
      <w:kern w:val="1"/>
      <w:sz w:val="28"/>
      <w:szCs w:val="24"/>
    </w:rPr>
  </w:style>
  <w:style w:type="character" w:customStyle="1" w:styleId="25">
    <w:name w:val="apple-converted-space"/>
    <w:autoRedefine/>
    <w:qFormat/>
    <w:uiPriority w:val="0"/>
  </w:style>
  <w:style w:type="paragraph" w:customStyle="1" w:styleId="26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TOC 标题2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29">
    <w:name w:val="列出段落2"/>
    <w:basedOn w:val="1"/>
    <w:autoRedefine/>
    <w:qFormat/>
    <w:uiPriority w:val="34"/>
  </w:style>
  <w:style w:type="paragraph" w:customStyle="1" w:styleId="30">
    <w:name w:val="Table Paragraph"/>
    <w:basedOn w:val="1"/>
    <w:autoRedefine/>
    <w:qFormat/>
    <w:uiPriority w:val="1"/>
  </w:style>
  <w:style w:type="paragraph" w:customStyle="1" w:styleId="31">
    <w:name w:val="列出段落3"/>
    <w:basedOn w:val="1"/>
    <w:autoRedefine/>
    <w:unhideWhenUsed/>
    <w:qFormat/>
    <w:uiPriority w:val="99"/>
    <w:pPr>
      <w:ind w:firstLine="420" w:firstLineChars="200"/>
    </w:pPr>
  </w:style>
  <w:style w:type="paragraph" w:customStyle="1" w:styleId="32">
    <w:name w:val="列出段落31"/>
    <w:basedOn w:val="1"/>
    <w:autoRedefine/>
    <w:qFormat/>
    <w:uiPriority w:val="34"/>
    <w:pPr>
      <w:ind w:firstLine="420" w:firstLineChars="200"/>
    </w:pPr>
  </w:style>
  <w:style w:type="paragraph" w:customStyle="1" w:styleId="33">
    <w:name w:val="列出段落4"/>
    <w:basedOn w:val="1"/>
    <w:autoRedefine/>
    <w:unhideWhenUsed/>
    <w:qFormat/>
    <w:uiPriority w:val="99"/>
    <w:pPr>
      <w:ind w:firstLine="420" w:firstLineChars="200"/>
    </w:pPr>
  </w:style>
  <w:style w:type="paragraph" w:styleId="3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5">
    <w:name w:val="未处理的提及1"/>
    <w:basedOn w:val="1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10</Pages>
  <Words>3021</Words>
  <Characters>3901</Characters>
  <Lines>39</Lines>
  <Paragraphs>11</Paragraphs>
  <TotalTime>2</TotalTime>
  <ScaleCrop>false</ScaleCrop>
  <LinksUpToDate>false</LinksUpToDate>
  <CharactersWithSpaces>4243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2015-09-30T18:32:00Z</dcterms:created>
  <dc:creator>Chemins</dc:creator>
  <cp:lastModifiedBy>zhu</cp:lastModifiedBy>
  <cp:lastPrinted>2020-03-17T19:24:00Z</cp:lastPrinted>
  <dcterms:modified xsi:type="dcterms:W3CDTF">2026-04-02T10:12:42Z</dcterms:modified>
  <dc:title>PHG-202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F2A27909B3C9403895CBA0C23A602BF1_13</vt:lpwstr>
  </property>
  <property fmtid="{D5CDD505-2E9C-101B-9397-08002B2CF9AE}" pid="4" name="KSOTemplateDocerSaveRecord">
    <vt:lpwstr>eyJoZGlkIjoiNTYxMTRmNmNlM2E2YzE4MDYxYjQ3MjhiN2EzN2Y3MTEiLCJ1c2VySWQiOiIzMzI4OTU4MTIifQ==</vt:lpwstr>
  </property>
</Properties>
</file>